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5F26B6" w14:textId="2507679A" w:rsidR="00A2746C" w:rsidRPr="001A149A" w:rsidRDefault="00A2746C" w:rsidP="00A2746C">
      <w:pPr>
        <w:spacing w:before="340" w:after="340"/>
        <w:jc w:val="center"/>
        <w:rPr>
          <w:b/>
          <w:bCs/>
          <w:sz w:val="40"/>
          <w:szCs w:val="40"/>
        </w:rPr>
        <w:sectPr w:rsidR="00A2746C" w:rsidRPr="001A149A" w:rsidSect="00A2746C">
          <w:pgSz w:w="11906" w:h="16838" w:code="9"/>
          <w:pgMar w:top="1701" w:right="1134" w:bottom="2325" w:left="1021" w:header="709" w:footer="709" w:gutter="0"/>
          <w:cols w:space="340"/>
          <w:docGrid w:linePitch="360"/>
        </w:sectPr>
      </w:pPr>
      <w:r>
        <w:rPr>
          <w:b/>
          <w:bCs/>
          <w:sz w:val="40"/>
          <w:szCs w:val="40"/>
        </w:rPr>
        <w:t>An article conforming to the formatting of AI</w:t>
      </w:r>
      <w:r w:rsidR="003C66C5">
        <w:rPr>
          <w:b/>
          <w:bCs/>
          <w:sz w:val="40"/>
          <w:szCs w:val="40"/>
        </w:rPr>
        <w:t xml:space="preserve">CSED </w:t>
      </w:r>
      <w:r w:rsidR="006C0C81">
        <w:rPr>
          <w:b/>
          <w:bCs/>
          <w:sz w:val="40"/>
          <w:szCs w:val="40"/>
        </w:rPr>
        <w:t>20</w:t>
      </w:r>
      <w:r w:rsidR="003C66C5">
        <w:rPr>
          <w:b/>
          <w:bCs/>
          <w:sz w:val="40"/>
          <w:szCs w:val="40"/>
        </w:rPr>
        <w:t>2</w:t>
      </w:r>
      <w:r w:rsidR="006C0C81">
        <w:rPr>
          <w:b/>
          <w:bCs/>
          <w:sz w:val="40"/>
          <w:szCs w:val="40"/>
        </w:rPr>
        <w:t>6</w:t>
      </w:r>
    </w:p>
    <w:p w14:paraId="545CF659" w14:textId="77777777" w:rsidR="00A2746C" w:rsidRPr="00D13AEE" w:rsidRDefault="00A2746C" w:rsidP="00A2746C">
      <w:pPr>
        <w:spacing w:after="340"/>
        <w:jc w:val="center"/>
        <w:outlineLvl w:val="0"/>
        <w:rPr>
          <w:b/>
          <w:sz w:val="22"/>
          <w:szCs w:val="22"/>
        </w:rPr>
      </w:pPr>
      <w:r w:rsidRPr="00D13AEE">
        <w:rPr>
          <w:b/>
          <w:sz w:val="22"/>
          <w:szCs w:val="22"/>
        </w:rPr>
        <w:t>Name one</w:t>
      </w:r>
      <w:r w:rsidRPr="00D13AEE">
        <w:rPr>
          <w:sz w:val="22"/>
          <w:szCs w:val="22"/>
          <w:vertAlign w:val="superscript"/>
        </w:rPr>
        <w:t>1</w:t>
      </w:r>
      <w:r w:rsidRPr="00D13AEE">
        <w:rPr>
          <w:b/>
          <w:sz w:val="22"/>
          <w:szCs w:val="22"/>
        </w:rPr>
        <w:t>, name two</w:t>
      </w:r>
      <w:r w:rsidRPr="00D13AEE">
        <w:rPr>
          <w:sz w:val="22"/>
          <w:szCs w:val="22"/>
          <w:vertAlign w:val="superscript"/>
        </w:rPr>
        <w:t>1</w:t>
      </w:r>
      <w:r w:rsidRPr="00D13AEE">
        <w:rPr>
          <w:b/>
          <w:sz w:val="22"/>
          <w:szCs w:val="22"/>
        </w:rPr>
        <w:t xml:space="preserve">, </w:t>
      </w:r>
      <w:r>
        <w:rPr>
          <w:b/>
          <w:sz w:val="22"/>
          <w:szCs w:val="22"/>
        </w:rPr>
        <w:t>name three</w:t>
      </w:r>
      <w:r w:rsidRPr="00D13AEE">
        <w:rPr>
          <w:sz w:val="22"/>
          <w:szCs w:val="22"/>
          <w:vertAlign w:val="superscript"/>
        </w:rPr>
        <w:t>1</w:t>
      </w:r>
      <w:r w:rsidRPr="00D13AEE">
        <w:rPr>
          <w:b/>
          <w:sz w:val="22"/>
          <w:szCs w:val="22"/>
        </w:rPr>
        <w:t xml:space="preserve"> and </w:t>
      </w:r>
      <w:r>
        <w:rPr>
          <w:b/>
          <w:sz w:val="22"/>
          <w:szCs w:val="22"/>
        </w:rPr>
        <w:t>name four</w:t>
      </w:r>
      <w:r w:rsidRPr="00D13AEE">
        <w:rPr>
          <w:sz w:val="22"/>
          <w:szCs w:val="22"/>
          <w:vertAlign w:val="superscript"/>
        </w:rPr>
        <w:t>2</w:t>
      </w:r>
    </w:p>
    <w:p w14:paraId="0D639332" w14:textId="77777777" w:rsidR="00A2746C" w:rsidRPr="00D13AEE" w:rsidRDefault="00A2746C">
      <w:pPr>
        <w:sectPr w:rsidR="00A2746C" w:rsidRPr="00D13AEE" w:rsidSect="00A2746C">
          <w:type w:val="continuous"/>
          <w:pgSz w:w="11906" w:h="16838" w:code="9"/>
          <w:pgMar w:top="1701" w:right="1134" w:bottom="2325" w:left="1021" w:header="709" w:footer="709" w:gutter="0"/>
          <w:cols w:space="340"/>
          <w:docGrid w:linePitch="360"/>
        </w:sectPr>
      </w:pPr>
    </w:p>
    <w:p w14:paraId="401296FE" w14:textId="77777777" w:rsidR="00A2746C" w:rsidRPr="00682B11" w:rsidRDefault="00A2746C" w:rsidP="00A2746C">
      <w:pPr>
        <w:jc w:val="both"/>
        <w:rPr>
          <w:sz w:val="18"/>
          <w:szCs w:val="18"/>
        </w:rPr>
      </w:pPr>
      <w:r w:rsidRPr="0056184A">
        <w:rPr>
          <w:b/>
          <w:sz w:val="18"/>
          <w:szCs w:val="18"/>
        </w:rPr>
        <w:t>Abstract.</w:t>
      </w:r>
      <w:r w:rsidRPr="00682B11">
        <w:rPr>
          <w:sz w:val="18"/>
          <w:szCs w:val="18"/>
        </w:rPr>
        <w:t xml:space="preserve">  </w:t>
      </w:r>
      <w:r>
        <w:rPr>
          <w:sz w:val="18"/>
          <w:szCs w:val="18"/>
        </w:rPr>
        <w:t>This is a Word docu</w:t>
      </w:r>
      <w:r w:rsidR="00456587">
        <w:rPr>
          <w:sz w:val="18"/>
          <w:szCs w:val="18"/>
        </w:rPr>
        <w:t>ment made to conform to the AISB-AICAP</w:t>
      </w:r>
      <w:r>
        <w:rPr>
          <w:sz w:val="18"/>
          <w:szCs w:val="18"/>
        </w:rPr>
        <w:t xml:space="preserve"> specifications. Feel free to recycle it for your purposes.</w:t>
      </w:r>
      <w:r w:rsidRPr="003B7373">
        <w:rPr>
          <w:rStyle w:val="FootnoteReference"/>
          <w:color w:val="FFFFFF"/>
          <w:sz w:val="18"/>
          <w:szCs w:val="18"/>
        </w:rPr>
        <w:footnoteReference w:id="1"/>
      </w:r>
      <w:r w:rsidRPr="00AE6870">
        <w:rPr>
          <w:rStyle w:val="FootnoteReference"/>
          <w:color w:val="FFFFFF"/>
          <w:sz w:val="18"/>
          <w:szCs w:val="18"/>
        </w:rPr>
        <w:footnoteReference w:id="2"/>
      </w:r>
    </w:p>
    <w:p w14:paraId="24376019" w14:textId="77777777" w:rsidR="00A2746C" w:rsidRPr="00701067" w:rsidRDefault="00A2746C" w:rsidP="00A2746C">
      <w:pPr>
        <w:spacing w:before="360" w:after="120"/>
        <w:outlineLvl w:val="0"/>
        <w:rPr>
          <w:b/>
          <w:sz w:val="22"/>
          <w:szCs w:val="22"/>
        </w:rPr>
      </w:pPr>
      <w:r w:rsidRPr="00701067">
        <w:rPr>
          <w:b/>
          <w:sz w:val="22"/>
          <w:szCs w:val="22"/>
        </w:rPr>
        <w:t>1 INTRODUCTION</w:t>
      </w:r>
    </w:p>
    <w:p w14:paraId="7B6E600B" w14:textId="77777777" w:rsidR="00A2746C" w:rsidRDefault="00A2746C" w:rsidP="00A2746C">
      <w:pPr>
        <w:pStyle w:val="MyFirstPar"/>
      </w:pPr>
      <w:r w:rsidRPr="00336F60">
        <w:t>The notion of responsive environments is broad, encompassing essentially every space capable of sensing and responding accordingly to entities that inhabit them (these entities can be people,</w:t>
      </w:r>
      <w:r>
        <w:t xml:space="preserve"> animals, or any sort of identifi</w:t>
      </w:r>
      <w:r w:rsidRPr="00336F60">
        <w:t>able objects).</w:t>
      </w:r>
    </w:p>
    <w:p w14:paraId="54677257" w14:textId="77777777" w:rsidR="00A2746C" w:rsidRDefault="00A2746C" w:rsidP="00A2746C">
      <w:pPr>
        <w:pStyle w:val="MyPar"/>
      </w:pPr>
      <w:r w:rsidRPr="00336F60">
        <w:t>In this work</w:t>
      </w:r>
      <w:r>
        <w:t>,</w:t>
      </w:r>
      <w:r w:rsidRPr="00336F60">
        <w:t xml:space="preserve"> we focus on a narrower class of responsive environments, namely those provided with ambient intelligence. Am</w:t>
      </w:r>
      <w:r>
        <w:t xml:space="preserve">bient intelligence was </w:t>
      </w:r>
      <w:r w:rsidRPr="00336F60">
        <w:t xml:space="preserve">characterised by Gaggioli [1] as referring to </w:t>
      </w:r>
      <w:r>
        <w:t xml:space="preserve">physical </w:t>
      </w:r>
      <w:r w:rsidRPr="00336F60">
        <w:t xml:space="preserve">environments that are sensitive and responsive to the presence of people. Their key features are intelligence and embedding. “Intelligence" here refers to the fact that the digital environment is able to analyse the context, adapt itself to the people and objects that reside in it, learn from their behaviour, and eventually recognise as well as express emotion. “Embedding" means that devices </w:t>
      </w:r>
      <w:r>
        <w:t xml:space="preserve">with computing power </w:t>
      </w:r>
      <w:r w:rsidRPr="00336F60">
        <w:t xml:space="preserve">will </w:t>
      </w:r>
      <w:r>
        <w:t xml:space="preserve">blend into the </w:t>
      </w:r>
      <w:r w:rsidRPr="00336F60">
        <w:t>background of peoples' activities, and that social interaction and functionality will move to the foreground.</w:t>
      </w:r>
      <w:r>
        <w:t xml:space="preserve"> In this paper, we are particularly concerned with ambient intelligence aimed at adapting to </w:t>
      </w:r>
      <w:r w:rsidRPr="005E2E52">
        <w:rPr>
          <w:i/>
        </w:rPr>
        <w:t>groups</w:t>
      </w:r>
      <w:r>
        <w:t xml:space="preserve"> of users, with the group membership continually changing. </w:t>
      </w:r>
    </w:p>
    <w:p w14:paraId="1F9A669F" w14:textId="77777777" w:rsidR="00A2746C" w:rsidRDefault="00A2746C" w:rsidP="00A2746C">
      <w:pPr>
        <w:pStyle w:val="MyPar"/>
      </w:pPr>
      <w:r>
        <w:t>To illustrate the class of problems we aim at, let us consider the case of information delivery to groups of users. Many interesting applications can be envisaged that fit into this setting:</w:t>
      </w:r>
    </w:p>
    <w:p w14:paraId="015FB4A3" w14:textId="77777777" w:rsidR="00A2746C" w:rsidRDefault="00A2746C" w:rsidP="00A2746C">
      <w:pPr>
        <w:pStyle w:val="MyPar"/>
        <w:numPr>
          <w:ilvl w:val="0"/>
          <w:numId w:val="1"/>
        </w:numPr>
        <w:tabs>
          <w:tab w:val="clear" w:pos="755"/>
        </w:tabs>
        <w:ind w:left="360" w:hanging="180"/>
      </w:pPr>
      <w:r>
        <w:t>Large displays can be installed in public spaces (airports, train stations, shopping malls, etc.) for the purposes of advertisement, entertainment and specific information delivery. The consumers of these services can form a very heterogeneous group of individuals. For example, in a train station we can find three individuals sharing the same physical space: the first one is a tourist with plenty of available time and interested in shopping local goods, the second one is a regular passenger who must wait every day for two hours at the train station to commute, and the third person is a hurried passenger looking for the right platform to get on a train that is about to depart. Ideally, a display that is visible to these three individuals should be sensitive to their interests and needs and adapt its displayed information accordingly.</w:t>
      </w:r>
    </w:p>
    <w:p w14:paraId="4FA180A5" w14:textId="77777777" w:rsidR="00A2746C" w:rsidRDefault="00A2746C" w:rsidP="00A2746C">
      <w:pPr>
        <w:pStyle w:val="MyPar"/>
        <w:numPr>
          <w:ilvl w:val="0"/>
          <w:numId w:val="1"/>
        </w:numPr>
        <w:tabs>
          <w:tab w:val="clear" w:pos="755"/>
        </w:tabs>
        <w:ind w:left="360" w:hanging="180"/>
      </w:pPr>
      <w:r>
        <w:t xml:space="preserve">Digital display windows are becoming ubiquitous in all sorts of shops. Ideally, these displays should be sensitive to the customers who approach them, avoiding products that may offend or annoy customers and presenting content that </w:t>
      </w:r>
      <w:r>
        <w:t xml:space="preserve">is capable of raising the desire to consume, keeping customers in the shop for as long as possible and making the overall experience of visiting the shop as pleasant and entertaining as possible. </w:t>
      </w:r>
    </w:p>
    <w:p w14:paraId="01D112F6" w14:textId="77777777" w:rsidR="00A2746C" w:rsidRDefault="00A2746C" w:rsidP="00A2746C">
      <w:pPr>
        <w:pStyle w:val="MyPar"/>
        <w:ind w:firstLine="0"/>
      </w:pPr>
      <w:r>
        <w:t xml:space="preserve">In this article, for the purposes of illustrating our approach, we employ the second application above: a bookstore where sensors detect the presence of customers identified by some portable device </w:t>
      </w:r>
      <w:r w:rsidRPr="003926A5">
        <w:t>(</w:t>
      </w:r>
      <w:r w:rsidRPr="003926A5">
        <w:rPr>
          <w:i/>
        </w:rPr>
        <w:t>e.g.</w:t>
      </w:r>
      <w:r w:rsidRPr="003926A5">
        <w:t xml:space="preserve"> a Bluetooth</w:t>
      </w:r>
      <w:r>
        <w:t>-enabled mobile phone, or a fidelity card equipped with an active RFID tag). In this scenario there are various sensors distributed among the shelves and sections of the bookstore which are able to detect the presence of individual customers (Figure 1 illustrates this scenario). The bookstore can associate the identification of customers with their profiling information, such as preferences, buying patterns and so on.</w:t>
      </w:r>
    </w:p>
    <w:p w14:paraId="4CD11E37" w14:textId="77777777" w:rsidR="00A2746C" w:rsidRDefault="00A2746C" w:rsidP="00A2746C">
      <w:pPr>
        <w:pStyle w:val="MyPar"/>
      </w:pPr>
      <w:r>
        <w:t>With this infrastructure in place, the bookstore can provide customers with a responsive environment that would adapt to maximise their well-being with a view to increasing sales. For instance, the device playing the background music should take into account the preferences of the group of customers within hearing distance. Similarly, LCD displays scattered in the store show items based on the customers nearby, the lights on the shop's display window (showing new titles) can be rearranged to reflect the preferences and interests of the group of customers watching it, and so on.</w:t>
      </w:r>
    </w:p>
    <w:p w14:paraId="0D80FC54" w14:textId="14C01121" w:rsidR="00A2746C" w:rsidRDefault="00A2746C" w:rsidP="00A2746C">
      <w:pPr>
        <w:pStyle w:val="MyPar"/>
      </w:pPr>
      <w:r>
        <w:t xml:space="preserve">This paper extends and combines our earlier work on managing responsive environments with software agents [2, 3] and group adaptation [4, 5]. We describe a </w:t>
      </w:r>
      <w:r w:rsidR="003C66C5">
        <w:t>scalable</w:t>
      </w:r>
      <w:r>
        <w:t xml:space="preserve"> and robust infra-structure implemented to support a team of software agents to manage devices shared by a number of people. Our approach naturally addresses a dynamic environment in which people and devices appear, disappear and move about in the physical space. Each component is associated with a software agent that represents the component’s capabilities and needs. In order to manage the potentially conflicting interests of various agents sharing resources (e.g., a group of shoppers with different interests in front of a screen showing articles on offer) we have experimented with group adaptation techniques. With our infra-structure, different group adaptation techniques can be easily adapted and used to control shared devices.</w:t>
      </w:r>
    </w:p>
    <w:p w14:paraId="285CCC8D" w14:textId="77777777" w:rsidR="00543E27" w:rsidRDefault="00A2746C" w:rsidP="00A2746C">
      <w:pPr>
        <w:pStyle w:val="MyPar"/>
      </w:pPr>
      <w:r>
        <w:t>The paper is organized as follows. First, we summarize our findings on group adaptation from [4, 5]. Next, we describe the agent architecture proposed in [2,5] for responsive environments. In Section 4, we integrate the work on group adaptation (described in Section 2) with the architectural work (described in Section 3). In Section 5, we discuss a proof-of-concept implementation. Section 6 contrasts this paper with related work. Section 7 presents our conclusions and provides directions for future work.</w:t>
      </w:r>
    </w:p>
    <w:p w14:paraId="0B20133E" w14:textId="77777777" w:rsidR="00543E27" w:rsidRDefault="00543E27">
      <w:pPr>
        <w:rPr>
          <w:sz w:val="18"/>
          <w:szCs w:val="18"/>
        </w:rPr>
      </w:pPr>
      <w:r>
        <w:br w:type="page"/>
      </w:r>
    </w:p>
    <w:p w14:paraId="688EF914" w14:textId="77777777" w:rsidR="00A2746C" w:rsidRPr="00701067" w:rsidRDefault="00A2746C" w:rsidP="00A2746C">
      <w:pPr>
        <w:spacing w:before="360" w:after="120"/>
        <w:outlineLvl w:val="0"/>
        <w:rPr>
          <w:b/>
          <w:sz w:val="22"/>
          <w:szCs w:val="22"/>
        </w:rPr>
      </w:pPr>
      <w:r>
        <w:rPr>
          <w:b/>
          <w:sz w:val="22"/>
          <w:szCs w:val="22"/>
        </w:rPr>
        <w:lastRenderedPageBreak/>
        <w:t>2</w:t>
      </w:r>
      <w:r w:rsidRPr="00701067">
        <w:rPr>
          <w:b/>
          <w:sz w:val="22"/>
          <w:szCs w:val="22"/>
        </w:rPr>
        <w:t xml:space="preserve"> GROUP ADAPTATION </w:t>
      </w:r>
    </w:p>
    <w:p w14:paraId="4FF66003" w14:textId="77777777" w:rsidR="00A2746C" w:rsidRDefault="00A2746C" w:rsidP="00A2746C">
      <w:pPr>
        <w:pStyle w:val="MyFirstPar"/>
      </w:pPr>
      <w:r w:rsidRPr="00015256">
        <w:t>This section summarizes our findings</w:t>
      </w:r>
      <w:r>
        <w:t xml:space="preserve"> on group adaptation from [4, 5] and relates them to ambient intelligence. Suppose the environment (e.g. a shop) contains three people, John, Adam and Mary. Suppose a device in this environment (e.g. a display) is aware that these three individuals are present and knows their interest in each of a set of items (e.g. music clips or advertisements).  Table 1 gives example ratings on a scale of 1 (really hate) to 10 (really like). Which items should the display show, given time for four items? </w:t>
      </w:r>
    </w:p>
    <w:p w14:paraId="39CE3492" w14:textId="77777777" w:rsidR="00A2746C" w:rsidRDefault="00A2746C" w:rsidP="00A2746C">
      <w:pPr>
        <w:pStyle w:val="MyFirstPar"/>
      </w:pPr>
    </w:p>
    <w:tbl>
      <w:tblPr>
        <w:tblW w:w="396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9"/>
        <w:gridCol w:w="425"/>
        <w:gridCol w:w="284"/>
        <w:gridCol w:w="283"/>
        <w:gridCol w:w="284"/>
        <w:gridCol w:w="425"/>
        <w:gridCol w:w="283"/>
        <w:gridCol w:w="284"/>
        <w:gridCol w:w="283"/>
        <w:gridCol w:w="426"/>
        <w:gridCol w:w="283"/>
      </w:tblGrid>
      <w:tr w:rsidR="00A2746C" w14:paraId="3A67D0F3" w14:textId="77777777">
        <w:trPr>
          <w:cantSplit/>
          <w:jc w:val="center"/>
        </w:trPr>
        <w:tc>
          <w:tcPr>
            <w:tcW w:w="709" w:type="dxa"/>
          </w:tcPr>
          <w:p w14:paraId="36C3AAF1" w14:textId="77777777" w:rsidR="00A2746C" w:rsidRDefault="00A2746C" w:rsidP="00A2746C">
            <w:pPr>
              <w:pStyle w:val="NumberedItem"/>
              <w:ind w:left="0" w:firstLine="0"/>
              <w:rPr>
                <w:sz w:val="18"/>
                <w:szCs w:val="18"/>
                <w:lang w:val="en-GB"/>
              </w:rPr>
            </w:pPr>
          </w:p>
        </w:tc>
        <w:tc>
          <w:tcPr>
            <w:tcW w:w="425" w:type="dxa"/>
          </w:tcPr>
          <w:p w14:paraId="0B81BA98" w14:textId="77777777" w:rsidR="00A2746C" w:rsidRDefault="00A2746C" w:rsidP="00A2746C">
            <w:pPr>
              <w:pStyle w:val="NumberedItem"/>
              <w:ind w:left="0" w:firstLine="0"/>
              <w:jc w:val="center"/>
              <w:rPr>
                <w:b/>
                <w:sz w:val="18"/>
                <w:szCs w:val="18"/>
                <w:lang w:val="en-GB"/>
              </w:rPr>
            </w:pPr>
            <w:r>
              <w:rPr>
                <w:b/>
                <w:sz w:val="18"/>
                <w:szCs w:val="18"/>
                <w:lang w:val="en-GB"/>
              </w:rPr>
              <w:t>A</w:t>
            </w:r>
          </w:p>
        </w:tc>
        <w:tc>
          <w:tcPr>
            <w:tcW w:w="284" w:type="dxa"/>
          </w:tcPr>
          <w:p w14:paraId="0AE000EF" w14:textId="77777777" w:rsidR="00A2746C" w:rsidRDefault="00A2746C" w:rsidP="00A2746C">
            <w:pPr>
              <w:pStyle w:val="NumberedItem"/>
              <w:ind w:left="0" w:firstLine="0"/>
              <w:jc w:val="center"/>
              <w:rPr>
                <w:b/>
                <w:sz w:val="18"/>
                <w:szCs w:val="18"/>
                <w:lang w:val="en-GB"/>
              </w:rPr>
            </w:pPr>
            <w:r>
              <w:rPr>
                <w:b/>
                <w:sz w:val="18"/>
                <w:szCs w:val="18"/>
                <w:lang w:val="en-GB"/>
              </w:rPr>
              <w:t>B</w:t>
            </w:r>
          </w:p>
        </w:tc>
        <w:tc>
          <w:tcPr>
            <w:tcW w:w="283" w:type="dxa"/>
          </w:tcPr>
          <w:p w14:paraId="4E908EA4" w14:textId="77777777" w:rsidR="00A2746C" w:rsidRDefault="00A2746C" w:rsidP="00A2746C">
            <w:pPr>
              <w:pStyle w:val="NumberedItem"/>
              <w:ind w:left="0" w:firstLine="0"/>
              <w:jc w:val="center"/>
              <w:rPr>
                <w:b/>
                <w:sz w:val="18"/>
                <w:szCs w:val="18"/>
              </w:rPr>
            </w:pPr>
            <w:r>
              <w:rPr>
                <w:b/>
                <w:sz w:val="18"/>
                <w:szCs w:val="18"/>
              </w:rPr>
              <w:t>C</w:t>
            </w:r>
          </w:p>
        </w:tc>
        <w:tc>
          <w:tcPr>
            <w:tcW w:w="284" w:type="dxa"/>
          </w:tcPr>
          <w:p w14:paraId="1ABCFDCD" w14:textId="77777777" w:rsidR="00A2746C" w:rsidRDefault="00A2746C" w:rsidP="00A2746C">
            <w:pPr>
              <w:pStyle w:val="NumberedItem"/>
              <w:ind w:left="0" w:firstLine="0"/>
              <w:jc w:val="center"/>
              <w:rPr>
                <w:b/>
                <w:sz w:val="18"/>
                <w:szCs w:val="18"/>
              </w:rPr>
            </w:pPr>
            <w:r>
              <w:rPr>
                <w:b/>
                <w:sz w:val="18"/>
                <w:szCs w:val="18"/>
              </w:rPr>
              <w:t>D</w:t>
            </w:r>
          </w:p>
        </w:tc>
        <w:tc>
          <w:tcPr>
            <w:tcW w:w="425" w:type="dxa"/>
          </w:tcPr>
          <w:p w14:paraId="5F615B3E" w14:textId="77777777" w:rsidR="00A2746C" w:rsidRDefault="00A2746C" w:rsidP="00A2746C">
            <w:pPr>
              <w:pStyle w:val="NumberedItem"/>
              <w:ind w:left="0" w:firstLine="0"/>
              <w:jc w:val="center"/>
              <w:rPr>
                <w:b/>
                <w:sz w:val="18"/>
                <w:szCs w:val="18"/>
              </w:rPr>
            </w:pPr>
            <w:r>
              <w:rPr>
                <w:b/>
                <w:sz w:val="18"/>
                <w:szCs w:val="18"/>
              </w:rPr>
              <w:t>E</w:t>
            </w:r>
          </w:p>
        </w:tc>
        <w:tc>
          <w:tcPr>
            <w:tcW w:w="283" w:type="dxa"/>
          </w:tcPr>
          <w:p w14:paraId="34F63516" w14:textId="77777777" w:rsidR="00A2746C" w:rsidRDefault="00A2746C" w:rsidP="00A2746C">
            <w:pPr>
              <w:pStyle w:val="NumberedItem"/>
              <w:ind w:left="0" w:firstLine="0"/>
              <w:jc w:val="center"/>
              <w:rPr>
                <w:b/>
                <w:sz w:val="18"/>
                <w:szCs w:val="18"/>
              </w:rPr>
            </w:pPr>
            <w:r>
              <w:rPr>
                <w:b/>
                <w:sz w:val="18"/>
                <w:szCs w:val="18"/>
              </w:rPr>
              <w:t>F</w:t>
            </w:r>
          </w:p>
        </w:tc>
        <w:tc>
          <w:tcPr>
            <w:tcW w:w="284" w:type="dxa"/>
          </w:tcPr>
          <w:p w14:paraId="645F657B" w14:textId="77777777" w:rsidR="00A2746C" w:rsidRDefault="00A2746C" w:rsidP="00A2746C">
            <w:pPr>
              <w:pStyle w:val="NumberedItem"/>
              <w:ind w:left="0" w:firstLine="0"/>
              <w:jc w:val="center"/>
              <w:rPr>
                <w:b/>
                <w:sz w:val="18"/>
                <w:szCs w:val="18"/>
              </w:rPr>
            </w:pPr>
            <w:r>
              <w:rPr>
                <w:b/>
                <w:sz w:val="18"/>
                <w:szCs w:val="18"/>
              </w:rPr>
              <w:t>G</w:t>
            </w:r>
          </w:p>
        </w:tc>
        <w:tc>
          <w:tcPr>
            <w:tcW w:w="283" w:type="dxa"/>
          </w:tcPr>
          <w:p w14:paraId="3AC50D61" w14:textId="77777777" w:rsidR="00A2746C" w:rsidRDefault="00A2746C" w:rsidP="00A2746C">
            <w:pPr>
              <w:pStyle w:val="NumberedItem"/>
              <w:ind w:left="0" w:firstLine="0"/>
              <w:jc w:val="center"/>
              <w:rPr>
                <w:b/>
                <w:sz w:val="18"/>
                <w:szCs w:val="18"/>
              </w:rPr>
            </w:pPr>
            <w:r>
              <w:rPr>
                <w:b/>
                <w:sz w:val="18"/>
                <w:szCs w:val="18"/>
              </w:rPr>
              <w:t>H</w:t>
            </w:r>
          </w:p>
        </w:tc>
        <w:tc>
          <w:tcPr>
            <w:tcW w:w="426" w:type="dxa"/>
          </w:tcPr>
          <w:p w14:paraId="349F1915" w14:textId="77777777" w:rsidR="00A2746C" w:rsidRDefault="00A2746C" w:rsidP="00A2746C">
            <w:pPr>
              <w:pStyle w:val="NumberedItem"/>
              <w:ind w:left="0" w:firstLine="0"/>
              <w:jc w:val="center"/>
              <w:rPr>
                <w:b/>
                <w:sz w:val="18"/>
                <w:szCs w:val="18"/>
              </w:rPr>
            </w:pPr>
            <w:r>
              <w:rPr>
                <w:b/>
                <w:sz w:val="18"/>
                <w:szCs w:val="18"/>
              </w:rPr>
              <w:t>I</w:t>
            </w:r>
          </w:p>
        </w:tc>
        <w:tc>
          <w:tcPr>
            <w:tcW w:w="283" w:type="dxa"/>
          </w:tcPr>
          <w:p w14:paraId="5692021C" w14:textId="77777777" w:rsidR="00A2746C" w:rsidRDefault="00A2746C" w:rsidP="00A2746C">
            <w:pPr>
              <w:pStyle w:val="NumberedItem"/>
              <w:ind w:left="0" w:firstLine="0"/>
              <w:jc w:val="center"/>
              <w:rPr>
                <w:b/>
                <w:sz w:val="18"/>
                <w:szCs w:val="18"/>
              </w:rPr>
            </w:pPr>
            <w:r>
              <w:rPr>
                <w:b/>
                <w:sz w:val="18"/>
                <w:szCs w:val="18"/>
              </w:rPr>
              <w:t>J</w:t>
            </w:r>
          </w:p>
        </w:tc>
      </w:tr>
      <w:tr w:rsidR="00A2746C" w14:paraId="04D4EE59" w14:textId="77777777">
        <w:trPr>
          <w:cantSplit/>
          <w:jc w:val="center"/>
        </w:trPr>
        <w:tc>
          <w:tcPr>
            <w:tcW w:w="709" w:type="dxa"/>
          </w:tcPr>
          <w:p w14:paraId="3BC7DFE1" w14:textId="77777777" w:rsidR="00A2746C" w:rsidRDefault="00A2746C" w:rsidP="00A2746C">
            <w:pPr>
              <w:rPr>
                <w:sz w:val="18"/>
                <w:szCs w:val="18"/>
              </w:rPr>
            </w:pPr>
            <w:r>
              <w:rPr>
                <w:sz w:val="18"/>
                <w:szCs w:val="18"/>
              </w:rPr>
              <w:t>John</w:t>
            </w:r>
          </w:p>
        </w:tc>
        <w:tc>
          <w:tcPr>
            <w:tcW w:w="425" w:type="dxa"/>
          </w:tcPr>
          <w:p w14:paraId="7DE4A043" w14:textId="77777777" w:rsidR="00A2746C" w:rsidRDefault="00A2746C" w:rsidP="00A2746C">
            <w:pPr>
              <w:pStyle w:val="NumberedItem"/>
              <w:ind w:left="0" w:firstLine="0"/>
              <w:jc w:val="center"/>
              <w:rPr>
                <w:sz w:val="18"/>
                <w:szCs w:val="18"/>
              </w:rPr>
            </w:pPr>
            <w:r>
              <w:rPr>
                <w:sz w:val="18"/>
                <w:szCs w:val="18"/>
              </w:rPr>
              <w:t>10</w:t>
            </w:r>
          </w:p>
        </w:tc>
        <w:tc>
          <w:tcPr>
            <w:tcW w:w="284" w:type="dxa"/>
          </w:tcPr>
          <w:p w14:paraId="46E52F43" w14:textId="77777777" w:rsidR="00A2746C" w:rsidRDefault="00A2746C" w:rsidP="00A2746C">
            <w:pPr>
              <w:pStyle w:val="NumberedItem"/>
              <w:ind w:left="0" w:firstLine="0"/>
              <w:jc w:val="center"/>
              <w:rPr>
                <w:sz w:val="18"/>
                <w:szCs w:val="18"/>
              </w:rPr>
            </w:pPr>
            <w:r>
              <w:rPr>
                <w:sz w:val="18"/>
                <w:szCs w:val="18"/>
              </w:rPr>
              <w:t>4</w:t>
            </w:r>
          </w:p>
        </w:tc>
        <w:tc>
          <w:tcPr>
            <w:tcW w:w="283" w:type="dxa"/>
          </w:tcPr>
          <w:p w14:paraId="6153002B" w14:textId="77777777" w:rsidR="00A2746C" w:rsidRDefault="00A2746C" w:rsidP="00A2746C">
            <w:pPr>
              <w:jc w:val="center"/>
              <w:rPr>
                <w:sz w:val="18"/>
                <w:szCs w:val="18"/>
              </w:rPr>
            </w:pPr>
            <w:r>
              <w:rPr>
                <w:sz w:val="18"/>
                <w:szCs w:val="18"/>
              </w:rPr>
              <w:t>3</w:t>
            </w:r>
          </w:p>
        </w:tc>
        <w:tc>
          <w:tcPr>
            <w:tcW w:w="284" w:type="dxa"/>
          </w:tcPr>
          <w:p w14:paraId="483A61DD" w14:textId="77777777" w:rsidR="00A2746C" w:rsidRDefault="00A2746C" w:rsidP="00A2746C">
            <w:pPr>
              <w:pStyle w:val="NumberedItem"/>
              <w:ind w:left="0" w:firstLine="0"/>
              <w:jc w:val="center"/>
              <w:rPr>
                <w:sz w:val="18"/>
                <w:szCs w:val="18"/>
              </w:rPr>
            </w:pPr>
            <w:r>
              <w:rPr>
                <w:sz w:val="18"/>
                <w:szCs w:val="18"/>
              </w:rPr>
              <w:t>6</w:t>
            </w:r>
          </w:p>
        </w:tc>
        <w:tc>
          <w:tcPr>
            <w:tcW w:w="425" w:type="dxa"/>
          </w:tcPr>
          <w:p w14:paraId="02C938E0" w14:textId="77777777" w:rsidR="00A2746C" w:rsidRDefault="00A2746C" w:rsidP="00A2746C">
            <w:pPr>
              <w:pStyle w:val="NumberedItem"/>
              <w:ind w:left="0" w:firstLine="0"/>
              <w:jc w:val="center"/>
              <w:rPr>
                <w:sz w:val="18"/>
                <w:szCs w:val="18"/>
              </w:rPr>
            </w:pPr>
            <w:r>
              <w:rPr>
                <w:sz w:val="18"/>
                <w:szCs w:val="18"/>
              </w:rPr>
              <w:t>10</w:t>
            </w:r>
          </w:p>
        </w:tc>
        <w:tc>
          <w:tcPr>
            <w:tcW w:w="283" w:type="dxa"/>
          </w:tcPr>
          <w:p w14:paraId="7C9797D4" w14:textId="77777777" w:rsidR="00A2746C" w:rsidRDefault="00A2746C" w:rsidP="00A2746C">
            <w:pPr>
              <w:pStyle w:val="NumberedItem"/>
              <w:ind w:left="0" w:firstLine="0"/>
              <w:jc w:val="center"/>
              <w:rPr>
                <w:sz w:val="18"/>
                <w:szCs w:val="18"/>
              </w:rPr>
            </w:pPr>
            <w:r>
              <w:rPr>
                <w:sz w:val="18"/>
                <w:szCs w:val="18"/>
              </w:rPr>
              <w:t>9</w:t>
            </w:r>
          </w:p>
        </w:tc>
        <w:tc>
          <w:tcPr>
            <w:tcW w:w="284" w:type="dxa"/>
          </w:tcPr>
          <w:p w14:paraId="5EA89188" w14:textId="77777777" w:rsidR="00A2746C" w:rsidRDefault="00A2746C" w:rsidP="00A2746C">
            <w:pPr>
              <w:pStyle w:val="NumberedItem"/>
              <w:ind w:left="0" w:firstLine="0"/>
              <w:jc w:val="center"/>
              <w:rPr>
                <w:sz w:val="18"/>
                <w:szCs w:val="18"/>
              </w:rPr>
            </w:pPr>
            <w:r>
              <w:rPr>
                <w:sz w:val="18"/>
                <w:szCs w:val="18"/>
              </w:rPr>
              <w:t>6</w:t>
            </w:r>
          </w:p>
        </w:tc>
        <w:tc>
          <w:tcPr>
            <w:tcW w:w="283" w:type="dxa"/>
          </w:tcPr>
          <w:p w14:paraId="03E4065F" w14:textId="77777777" w:rsidR="00A2746C" w:rsidRDefault="00A2746C" w:rsidP="00A2746C">
            <w:pPr>
              <w:jc w:val="center"/>
              <w:rPr>
                <w:sz w:val="18"/>
                <w:szCs w:val="18"/>
              </w:rPr>
            </w:pPr>
            <w:r>
              <w:rPr>
                <w:sz w:val="18"/>
                <w:szCs w:val="18"/>
              </w:rPr>
              <w:t>8</w:t>
            </w:r>
          </w:p>
        </w:tc>
        <w:tc>
          <w:tcPr>
            <w:tcW w:w="426" w:type="dxa"/>
          </w:tcPr>
          <w:p w14:paraId="5DD51691" w14:textId="77777777" w:rsidR="00A2746C" w:rsidRDefault="00A2746C" w:rsidP="00A2746C">
            <w:pPr>
              <w:pStyle w:val="NumberedItem"/>
              <w:ind w:left="0" w:firstLine="0"/>
              <w:jc w:val="center"/>
              <w:rPr>
                <w:sz w:val="18"/>
                <w:szCs w:val="18"/>
              </w:rPr>
            </w:pPr>
            <w:r>
              <w:rPr>
                <w:sz w:val="18"/>
                <w:szCs w:val="18"/>
              </w:rPr>
              <w:t>10</w:t>
            </w:r>
          </w:p>
        </w:tc>
        <w:tc>
          <w:tcPr>
            <w:tcW w:w="283" w:type="dxa"/>
          </w:tcPr>
          <w:p w14:paraId="52CFB162" w14:textId="77777777" w:rsidR="00A2746C" w:rsidRDefault="00A2746C" w:rsidP="00A2746C">
            <w:pPr>
              <w:jc w:val="center"/>
              <w:rPr>
                <w:sz w:val="18"/>
                <w:szCs w:val="18"/>
              </w:rPr>
            </w:pPr>
            <w:r>
              <w:rPr>
                <w:sz w:val="18"/>
                <w:szCs w:val="18"/>
              </w:rPr>
              <w:t>8</w:t>
            </w:r>
          </w:p>
        </w:tc>
      </w:tr>
      <w:tr w:rsidR="00A2746C" w14:paraId="7172637C" w14:textId="77777777">
        <w:trPr>
          <w:cantSplit/>
          <w:jc w:val="center"/>
        </w:trPr>
        <w:tc>
          <w:tcPr>
            <w:tcW w:w="709" w:type="dxa"/>
            <w:tcBorders>
              <w:bottom w:val="single" w:sz="4" w:space="0" w:color="auto"/>
            </w:tcBorders>
          </w:tcPr>
          <w:p w14:paraId="77C87577" w14:textId="77777777" w:rsidR="00A2746C" w:rsidRDefault="00A2746C" w:rsidP="00A2746C">
            <w:pPr>
              <w:pStyle w:val="NumberedItem"/>
              <w:ind w:left="0" w:firstLine="0"/>
              <w:rPr>
                <w:sz w:val="18"/>
                <w:szCs w:val="18"/>
              </w:rPr>
            </w:pPr>
            <w:r>
              <w:rPr>
                <w:sz w:val="18"/>
                <w:szCs w:val="18"/>
              </w:rPr>
              <w:t>Adam</w:t>
            </w:r>
          </w:p>
        </w:tc>
        <w:tc>
          <w:tcPr>
            <w:tcW w:w="425" w:type="dxa"/>
            <w:tcBorders>
              <w:bottom w:val="single" w:sz="4" w:space="0" w:color="auto"/>
            </w:tcBorders>
          </w:tcPr>
          <w:p w14:paraId="604F4BB7" w14:textId="77777777" w:rsidR="00A2746C" w:rsidRDefault="00A2746C" w:rsidP="00A2746C">
            <w:pPr>
              <w:pStyle w:val="NumberedItem"/>
              <w:ind w:left="0" w:firstLine="0"/>
              <w:jc w:val="center"/>
              <w:rPr>
                <w:sz w:val="18"/>
                <w:szCs w:val="18"/>
              </w:rPr>
            </w:pPr>
            <w:r>
              <w:rPr>
                <w:sz w:val="18"/>
                <w:szCs w:val="18"/>
              </w:rPr>
              <w:t>1</w:t>
            </w:r>
          </w:p>
        </w:tc>
        <w:tc>
          <w:tcPr>
            <w:tcW w:w="284" w:type="dxa"/>
            <w:tcBorders>
              <w:bottom w:val="single" w:sz="4" w:space="0" w:color="auto"/>
            </w:tcBorders>
          </w:tcPr>
          <w:p w14:paraId="5D18A47D" w14:textId="77777777" w:rsidR="00A2746C" w:rsidRDefault="00A2746C" w:rsidP="00A2746C">
            <w:pPr>
              <w:pStyle w:val="NumberedItem"/>
              <w:ind w:left="0" w:firstLine="0"/>
              <w:jc w:val="center"/>
              <w:rPr>
                <w:sz w:val="18"/>
                <w:szCs w:val="18"/>
              </w:rPr>
            </w:pPr>
            <w:r>
              <w:rPr>
                <w:sz w:val="18"/>
                <w:szCs w:val="18"/>
              </w:rPr>
              <w:t>9</w:t>
            </w:r>
          </w:p>
        </w:tc>
        <w:tc>
          <w:tcPr>
            <w:tcW w:w="283" w:type="dxa"/>
            <w:tcBorders>
              <w:bottom w:val="single" w:sz="4" w:space="0" w:color="auto"/>
            </w:tcBorders>
          </w:tcPr>
          <w:p w14:paraId="156B36AA" w14:textId="77777777" w:rsidR="00A2746C" w:rsidRDefault="00A2746C" w:rsidP="00A2746C">
            <w:pPr>
              <w:pStyle w:val="NumberedItem"/>
              <w:ind w:left="0" w:firstLine="0"/>
              <w:jc w:val="center"/>
              <w:rPr>
                <w:sz w:val="18"/>
                <w:szCs w:val="18"/>
              </w:rPr>
            </w:pPr>
            <w:r>
              <w:rPr>
                <w:sz w:val="18"/>
                <w:szCs w:val="18"/>
              </w:rPr>
              <w:t>8</w:t>
            </w:r>
          </w:p>
        </w:tc>
        <w:tc>
          <w:tcPr>
            <w:tcW w:w="284" w:type="dxa"/>
            <w:tcBorders>
              <w:bottom w:val="single" w:sz="4" w:space="0" w:color="auto"/>
            </w:tcBorders>
          </w:tcPr>
          <w:p w14:paraId="4D1CD6C6" w14:textId="77777777" w:rsidR="00A2746C" w:rsidRDefault="00A2746C" w:rsidP="00A2746C">
            <w:pPr>
              <w:pStyle w:val="NumberedItem"/>
              <w:ind w:left="0" w:firstLine="0"/>
              <w:jc w:val="center"/>
              <w:rPr>
                <w:sz w:val="18"/>
                <w:szCs w:val="18"/>
              </w:rPr>
            </w:pPr>
            <w:r>
              <w:rPr>
                <w:sz w:val="18"/>
                <w:szCs w:val="18"/>
              </w:rPr>
              <w:t>9</w:t>
            </w:r>
          </w:p>
        </w:tc>
        <w:tc>
          <w:tcPr>
            <w:tcW w:w="425" w:type="dxa"/>
            <w:tcBorders>
              <w:bottom w:val="single" w:sz="4" w:space="0" w:color="auto"/>
            </w:tcBorders>
          </w:tcPr>
          <w:p w14:paraId="66683A8D" w14:textId="77777777" w:rsidR="00A2746C" w:rsidRDefault="00A2746C" w:rsidP="00A2746C">
            <w:pPr>
              <w:pStyle w:val="NumberedItem"/>
              <w:ind w:left="0" w:firstLine="0"/>
              <w:jc w:val="center"/>
              <w:rPr>
                <w:sz w:val="18"/>
                <w:szCs w:val="18"/>
              </w:rPr>
            </w:pPr>
            <w:r>
              <w:rPr>
                <w:sz w:val="18"/>
                <w:szCs w:val="18"/>
              </w:rPr>
              <w:t>7</w:t>
            </w:r>
          </w:p>
        </w:tc>
        <w:tc>
          <w:tcPr>
            <w:tcW w:w="283" w:type="dxa"/>
            <w:tcBorders>
              <w:bottom w:val="single" w:sz="4" w:space="0" w:color="auto"/>
            </w:tcBorders>
          </w:tcPr>
          <w:p w14:paraId="479B1E25" w14:textId="77777777" w:rsidR="00A2746C" w:rsidRDefault="00A2746C" w:rsidP="00A2746C">
            <w:pPr>
              <w:pStyle w:val="NumberedItem"/>
              <w:ind w:left="0" w:firstLine="0"/>
              <w:jc w:val="center"/>
              <w:rPr>
                <w:sz w:val="18"/>
                <w:szCs w:val="18"/>
              </w:rPr>
            </w:pPr>
            <w:r>
              <w:rPr>
                <w:sz w:val="18"/>
                <w:szCs w:val="18"/>
              </w:rPr>
              <w:t>9</w:t>
            </w:r>
          </w:p>
        </w:tc>
        <w:tc>
          <w:tcPr>
            <w:tcW w:w="284" w:type="dxa"/>
            <w:tcBorders>
              <w:bottom w:val="single" w:sz="4" w:space="0" w:color="auto"/>
            </w:tcBorders>
          </w:tcPr>
          <w:p w14:paraId="24E05300" w14:textId="77777777" w:rsidR="00A2746C" w:rsidRDefault="00A2746C" w:rsidP="00A2746C">
            <w:pPr>
              <w:pStyle w:val="NumberedItem"/>
              <w:ind w:left="0" w:firstLine="0"/>
              <w:jc w:val="center"/>
              <w:rPr>
                <w:sz w:val="18"/>
                <w:szCs w:val="18"/>
              </w:rPr>
            </w:pPr>
            <w:r>
              <w:rPr>
                <w:sz w:val="18"/>
                <w:szCs w:val="18"/>
              </w:rPr>
              <w:t>6</w:t>
            </w:r>
          </w:p>
        </w:tc>
        <w:tc>
          <w:tcPr>
            <w:tcW w:w="283" w:type="dxa"/>
            <w:tcBorders>
              <w:bottom w:val="single" w:sz="4" w:space="0" w:color="auto"/>
            </w:tcBorders>
          </w:tcPr>
          <w:p w14:paraId="4CDCED82" w14:textId="77777777" w:rsidR="00A2746C" w:rsidRDefault="00A2746C" w:rsidP="00A2746C">
            <w:pPr>
              <w:pStyle w:val="NumberedItem"/>
              <w:ind w:left="0" w:firstLine="0"/>
              <w:jc w:val="center"/>
              <w:rPr>
                <w:sz w:val="18"/>
                <w:szCs w:val="18"/>
              </w:rPr>
            </w:pPr>
            <w:r>
              <w:rPr>
                <w:sz w:val="18"/>
                <w:szCs w:val="18"/>
              </w:rPr>
              <w:t>9</w:t>
            </w:r>
          </w:p>
        </w:tc>
        <w:tc>
          <w:tcPr>
            <w:tcW w:w="426" w:type="dxa"/>
            <w:tcBorders>
              <w:bottom w:val="single" w:sz="4" w:space="0" w:color="auto"/>
            </w:tcBorders>
          </w:tcPr>
          <w:p w14:paraId="52906B24" w14:textId="77777777" w:rsidR="00A2746C" w:rsidRDefault="00A2746C" w:rsidP="00A2746C">
            <w:pPr>
              <w:pStyle w:val="NumberedItem"/>
              <w:ind w:left="0" w:firstLine="0"/>
              <w:jc w:val="center"/>
              <w:rPr>
                <w:sz w:val="18"/>
                <w:szCs w:val="18"/>
              </w:rPr>
            </w:pPr>
            <w:r>
              <w:rPr>
                <w:sz w:val="18"/>
                <w:szCs w:val="18"/>
              </w:rPr>
              <w:t>3</w:t>
            </w:r>
          </w:p>
        </w:tc>
        <w:tc>
          <w:tcPr>
            <w:tcW w:w="283" w:type="dxa"/>
            <w:tcBorders>
              <w:bottom w:val="single" w:sz="4" w:space="0" w:color="auto"/>
            </w:tcBorders>
          </w:tcPr>
          <w:p w14:paraId="096B38E5" w14:textId="77777777" w:rsidR="00A2746C" w:rsidRDefault="00A2746C" w:rsidP="00A2746C">
            <w:pPr>
              <w:pStyle w:val="NumberedItem"/>
              <w:ind w:left="0" w:firstLine="0"/>
              <w:jc w:val="center"/>
              <w:rPr>
                <w:sz w:val="18"/>
                <w:szCs w:val="18"/>
              </w:rPr>
            </w:pPr>
            <w:r>
              <w:rPr>
                <w:sz w:val="18"/>
                <w:szCs w:val="18"/>
              </w:rPr>
              <w:t>8</w:t>
            </w:r>
          </w:p>
        </w:tc>
      </w:tr>
      <w:tr w:rsidR="00A2746C" w14:paraId="22D9F1A4" w14:textId="77777777">
        <w:trPr>
          <w:cantSplit/>
          <w:jc w:val="center"/>
        </w:trPr>
        <w:tc>
          <w:tcPr>
            <w:tcW w:w="709" w:type="dxa"/>
            <w:tcBorders>
              <w:bottom w:val="single" w:sz="4" w:space="0" w:color="auto"/>
            </w:tcBorders>
          </w:tcPr>
          <w:p w14:paraId="4C5F7206" w14:textId="77777777" w:rsidR="00A2746C" w:rsidRDefault="00A2746C" w:rsidP="00A2746C">
            <w:pPr>
              <w:pStyle w:val="NumberedItem"/>
              <w:ind w:left="0" w:firstLine="0"/>
              <w:rPr>
                <w:sz w:val="18"/>
                <w:szCs w:val="18"/>
              </w:rPr>
            </w:pPr>
            <w:r>
              <w:rPr>
                <w:sz w:val="18"/>
                <w:szCs w:val="18"/>
              </w:rPr>
              <w:t>Mary</w:t>
            </w:r>
          </w:p>
        </w:tc>
        <w:tc>
          <w:tcPr>
            <w:tcW w:w="425" w:type="dxa"/>
            <w:tcBorders>
              <w:bottom w:val="single" w:sz="4" w:space="0" w:color="auto"/>
            </w:tcBorders>
          </w:tcPr>
          <w:p w14:paraId="04A63244" w14:textId="77777777" w:rsidR="00A2746C" w:rsidRDefault="00A2746C" w:rsidP="00A2746C">
            <w:pPr>
              <w:pStyle w:val="NumberedItem"/>
              <w:ind w:left="0" w:firstLine="0"/>
              <w:jc w:val="center"/>
              <w:rPr>
                <w:sz w:val="18"/>
                <w:szCs w:val="18"/>
              </w:rPr>
            </w:pPr>
            <w:r>
              <w:rPr>
                <w:sz w:val="18"/>
                <w:szCs w:val="18"/>
              </w:rPr>
              <w:t>10</w:t>
            </w:r>
          </w:p>
        </w:tc>
        <w:tc>
          <w:tcPr>
            <w:tcW w:w="284" w:type="dxa"/>
            <w:tcBorders>
              <w:bottom w:val="single" w:sz="4" w:space="0" w:color="auto"/>
            </w:tcBorders>
          </w:tcPr>
          <w:p w14:paraId="76E30542" w14:textId="77777777" w:rsidR="00A2746C" w:rsidRDefault="00A2746C" w:rsidP="00A2746C">
            <w:pPr>
              <w:pStyle w:val="NumberedItem"/>
              <w:ind w:left="0" w:firstLine="0"/>
              <w:jc w:val="center"/>
              <w:rPr>
                <w:sz w:val="18"/>
                <w:szCs w:val="18"/>
              </w:rPr>
            </w:pPr>
            <w:r>
              <w:rPr>
                <w:sz w:val="18"/>
                <w:szCs w:val="18"/>
              </w:rPr>
              <w:t>5</w:t>
            </w:r>
          </w:p>
        </w:tc>
        <w:tc>
          <w:tcPr>
            <w:tcW w:w="283" w:type="dxa"/>
            <w:tcBorders>
              <w:bottom w:val="single" w:sz="4" w:space="0" w:color="auto"/>
            </w:tcBorders>
          </w:tcPr>
          <w:p w14:paraId="7E4DBBC5" w14:textId="77777777" w:rsidR="00A2746C" w:rsidRDefault="00A2746C" w:rsidP="00A2746C">
            <w:pPr>
              <w:pStyle w:val="NumberedItem"/>
              <w:ind w:left="0" w:firstLine="0"/>
              <w:jc w:val="center"/>
              <w:rPr>
                <w:sz w:val="18"/>
                <w:szCs w:val="18"/>
              </w:rPr>
            </w:pPr>
            <w:r>
              <w:rPr>
                <w:sz w:val="18"/>
                <w:szCs w:val="18"/>
              </w:rPr>
              <w:t>2</w:t>
            </w:r>
          </w:p>
        </w:tc>
        <w:tc>
          <w:tcPr>
            <w:tcW w:w="284" w:type="dxa"/>
            <w:tcBorders>
              <w:bottom w:val="single" w:sz="4" w:space="0" w:color="auto"/>
            </w:tcBorders>
          </w:tcPr>
          <w:p w14:paraId="07296C15" w14:textId="77777777" w:rsidR="00A2746C" w:rsidRDefault="00A2746C" w:rsidP="00A2746C">
            <w:pPr>
              <w:pStyle w:val="NumberedItem"/>
              <w:ind w:left="0" w:firstLine="0"/>
              <w:jc w:val="center"/>
              <w:rPr>
                <w:sz w:val="18"/>
                <w:szCs w:val="18"/>
              </w:rPr>
            </w:pPr>
            <w:r>
              <w:rPr>
                <w:sz w:val="18"/>
                <w:szCs w:val="18"/>
              </w:rPr>
              <w:t>7</w:t>
            </w:r>
          </w:p>
        </w:tc>
        <w:tc>
          <w:tcPr>
            <w:tcW w:w="425" w:type="dxa"/>
            <w:tcBorders>
              <w:bottom w:val="single" w:sz="4" w:space="0" w:color="auto"/>
            </w:tcBorders>
          </w:tcPr>
          <w:p w14:paraId="5B240A50" w14:textId="77777777" w:rsidR="00A2746C" w:rsidRDefault="00A2746C" w:rsidP="00A2746C">
            <w:pPr>
              <w:pStyle w:val="NumberedItem"/>
              <w:ind w:left="0" w:firstLine="0"/>
              <w:jc w:val="center"/>
              <w:rPr>
                <w:sz w:val="18"/>
                <w:szCs w:val="18"/>
              </w:rPr>
            </w:pPr>
            <w:r>
              <w:rPr>
                <w:sz w:val="18"/>
                <w:szCs w:val="18"/>
              </w:rPr>
              <w:t>9</w:t>
            </w:r>
          </w:p>
        </w:tc>
        <w:tc>
          <w:tcPr>
            <w:tcW w:w="283" w:type="dxa"/>
            <w:tcBorders>
              <w:bottom w:val="single" w:sz="4" w:space="0" w:color="auto"/>
            </w:tcBorders>
          </w:tcPr>
          <w:p w14:paraId="10AC911B" w14:textId="77777777" w:rsidR="00A2746C" w:rsidRDefault="00A2746C" w:rsidP="00A2746C">
            <w:pPr>
              <w:pStyle w:val="NumberedItem"/>
              <w:ind w:left="0" w:firstLine="0"/>
              <w:jc w:val="center"/>
              <w:rPr>
                <w:sz w:val="18"/>
                <w:szCs w:val="18"/>
              </w:rPr>
            </w:pPr>
            <w:r>
              <w:rPr>
                <w:sz w:val="18"/>
                <w:szCs w:val="18"/>
              </w:rPr>
              <w:t>8</w:t>
            </w:r>
          </w:p>
        </w:tc>
        <w:tc>
          <w:tcPr>
            <w:tcW w:w="284" w:type="dxa"/>
            <w:tcBorders>
              <w:bottom w:val="single" w:sz="4" w:space="0" w:color="auto"/>
            </w:tcBorders>
          </w:tcPr>
          <w:p w14:paraId="47477DD1" w14:textId="77777777" w:rsidR="00A2746C" w:rsidRDefault="00A2746C" w:rsidP="00A2746C">
            <w:pPr>
              <w:pStyle w:val="NumberedItem"/>
              <w:ind w:left="0" w:firstLine="0"/>
              <w:jc w:val="center"/>
              <w:rPr>
                <w:sz w:val="18"/>
                <w:szCs w:val="18"/>
              </w:rPr>
            </w:pPr>
            <w:r>
              <w:rPr>
                <w:sz w:val="18"/>
                <w:szCs w:val="18"/>
              </w:rPr>
              <w:t>5</w:t>
            </w:r>
          </w:p>
        </w:tc>
        <w:tc>
          <w:tcPr>
            <w:tcW w:w="283" w:type="dxa"/>
            <w:tcBorders>
              <w:bottom w:val="single" w:sz="4" w:space="0" w:color="auto"/>
            </w:tcBorders>
          </w:tcPr>
          <w:p w14:paraId="1CB29FEE" w14:textId="77777777" w:rsidR="00A2746C" w:rsidRDefault="00A2746C" w:rsidP="00A2746C">
            <w:pPr>
              <w:pStyle w:val="NumberedItem"/>
              <w:ind w:left="0" w:firstLine="0"/>
              <w:jc w:val="center"/>
              <w:rPr>
                <w:sz w:val="18"/>
                <w:szCs w:val="18"/>
              </w:rPr>
            </w:pPr>
            <w:r>
              <w:rPr>
                <w:sz w:val="18"/>
                <w:szCs w:val="18"/>
              </w:rPr>
              <w:t>6</w:t>
            </w:r>
          </w:p>
        </w:tc>
        <w:tc>
          <w:tcPr>
            <w:tcW w:w="426" w:type="dxa"/>
            <w:tcBorders>
              <w:bottom w:val="single" w:sz="4" w:space="0" w:color="auto"/>
            </w:tcBorders>
          </w:tcPr>
          <w:p w14:paraId="0BAE419C" w14:textId="77777777" w:rsidR="00A2746C" w:rsidRDefault="00A2746C" w:rsidP="00A2746C">
            <w:pPr>
              <w:pStyle w:val="NumberedItem"/>
              <w:ind w:left="0" w:firstLine="0"/>
              <w:jc w:val="center"/>
              <w:rPr>
                <w:sz w:val="18"/>
                <w:szCs w:val="18"/>
              </w:rPr>
            </w:pPr>
            <w:r>
              <w:rPr>
                <w:sz w:val="18"/>
                <w:szCs w:val="18"/>
              </w:rPr>
              <w:t>7</w:t>
            </w:r>
          </w:p>
        </w:tc>
        <w:tc>
          <w:tcPr>
            <w:tcW w:w="283" w:type="dxa"/>
            <w:tcBorders>
              <w:bottom w:val="single" w:sz="4" w:space="0" w:color="auto"/>
            </w:tcBorders>
          </w:tcPr>
          <w:p w14:paraId="3717B079" w14:textId="77777777" w:rsidR="00A2746C" w:rsidRDefault="00A2746C" w:rsidP="00A2746C">
            <w:pPr>
              <w:pStyle w:val="NumberedItem"/>
              <w:ind w:left="0" w:firstLine="0"/>
              <w:jc w:val="center"/>
              <w:rPr>
                <w:sz w:val="18"/>
                <w:szCs w:val="18"/>
              </w:rPr>
            </w:pPr>
            <w:r>
              <w:rPr>
                <w:sz w:val="18"/>
                <w:szCs w:val="18"/>
              </w:rPr>
              <w:t>6</w:t>
            </w:r>
          </w:p>
        </w:tc>
      </w:tr>
    </w:tbl>
    <w:p w14:paraId="1E17F8B2" w14:textId="77777777" w:rsidR="00A2746C" w:rsidRPr="000B0F27" w:rsidRDefault="00A2746C" w:rsidP="00A2746C">
      <w:pPr>
        <w:jc w:val="both"/>
        <w:rPr>
          <w:sz w:val="10"/>
          <w:szCs w:val="10"/>
        </w:rPr>
      </w:pPr>
    </w:p>
    <w:p w14:paraId="18AC8F85" w14:textId="77777777" w:rsidR="00A2746C" w:rsidRPr="006A0721" w:rsidRDefault="00A2746C" w:rsidP="00A2746C">
      <w:pPr>
        <w:pStyle w:val="p1aChar"/>
        <w:jc w:val="center"/>
        <w:outlineLvl w:val="0"/>
        <w:rPr>
          <w:sz w:val="18"/>
          <w:szCs w:val="18"/>
          <w:lang w:val="en-GB"/>
        </w:rPr>
      </w:pPr>
      <w:r w:rsidRPr="006A0721">
        <w:rPr>
          <w:b/>
          <w:sz w:val="18"/>
          <w:szCs w:val="18"/>
          <w:lang w:val="en-GB"/>
        </w:rPr>
        <w:t xml:space="preserve">Table </w:t>
      </w:r>
      <w:r w:rsidRPr="006A0721">
        <w:rPr>
          <w:b/>
          <w:sz w:val="18"/>
          <w:szCs w:val="18"/>
        </w:rPr>
        <w:fldChar w:fldCharType="begin"/>
      </w:r>
      <w:r w:rsidRPr="006A0721">
        <w:rPr>
          <w:b/>
          <w:sz w:val="18"/>
          <w:szCs w:val="18"/>
          <w:lang w:val="en-GB"/>
        </w:rPr>
        <w:instrText xml:space="preserve"> SEQ Table \n </w:instrText>
      </w:r>
      <w:r w:rsidRPr="006A0721">
        <w:rPr>
          <w:b/>
          <w:sz w:val="18"/>
          <w:szCs w:val="18"/>
        </w:rPr>
        <w:fldChar w:fldCharType="separate"/>
      </w:r>
      <w:r>
        <w:rPr>
          <w:b/>
          <w:noProof/>
          <w:sz w:val="18"/>
          <w:szCs w:val="18"/>
          <w:lang w:val="en-GB"/>
        </w:rPr>
        <w:t>1</w:t>
      </w:r>
      <w:r w:rsidRPr="006A0721">
        <w:rPr>
          <w:b/>
          <w:sz w:val="18"/>
          <w:szCs w:val="18"/>
        </w:rPr>
        <w:fldChar w:fldCharType="end"/>
      </w:r>
      <w:r w:rsidRPr="006A0721">
        <w:rPr>
          <w:b/>
          <w:sz w:val="18"/>
          <w:szCs w:val="18"/>
          <w:lang w:val="en-GB"/>
        </w:rPr>
        <w:t>.</w:t>
      </w:r>
      <w:r>
        <w:rPr>
          <w:sz w:val="18"/>
          <w:szCs w:val="18"/>
          <w:lang w:val="en-GB"/>
        </w:rPr>
        <w:t xml:space="preserve"> Example of Individual Ratings for Ten I</w:t>
      </w:r>
      <w:r w:rsidRPr="006A0721">
        <w:rPr>
          <w:sz w:val="18"/>
          <w:szCs w:val="18"/>
          <w:lang w:val="en-GB"/>
        </w:rPr>
        <w:t>tems (A to J)</w:t>
      </w:r>
    </w:p>
    <w:p w14:paraId="2F0AA667" w14:textId="77777777" w:rsidR="00A2746C" w:rsidRPr="00015256" w:rsidRDefault="00A2746C" w:rsidP="00A2746C">
      <w:pPr>
        <w:jc w:val="both"/>
        <w:rPr>
          <w:sz w:val="18"/>
          <w:szCs w:val="18"/>
        </w:rPr>
      </w:pPr>
    </w:p>
    <w:p w14:paraId="469E8307" w14:textId="77777777" w:rsidR="00A2746C" w:rsidRDefault="00A2746C" w:rsidP="00A2746C">
      <w:pPr>
        <w:pStyle w:val="MyPar"/>
      </w:pPr>
      <w:r>
        <w:t>Many different strategies exist for aggregating ratings of individuals into a rating of a group (e.g. used in elections, like when selecting the leader of a political party). Eleven of these (inspired by Social Choice Theory) are discussed in [4]. For instance, one could average the ratings of the individuals to obtain a group rating (making E and F the most preferred items by the group): the Average Strategy. One could take the minimum of the ratings, assuming that a group is as happy as its least happy member (giving a group rating of 1 for item A): the Least-Misery Strategy. We conducted a series of experiments to investigate which strategy is best (see [4] for details).</w:t>
      </w:r>
    </w:p>
    <w:p w14:paraId="4A157391" w14:textId="77777777" w:rsidR="00A2746C" w:rsidRDefault="00A2746C" w:rsidP="00A2746C">
      <w:pPr>
        <w:pStyle w:val="MyPar"/>
      </w:pPr>
      <w:r>
        <w:t>In experiment 1, we investigated how people would solve this problem, so given ratings for individuals (as in Table 1), which items they thought the group should watch, if there was time for say six items. We compared our subjects’ decisions (and rationale) with those of the aggregation strategies. We found that humans care about fairness, and about preventing misery and starvation (“this one is for Mary, as she has had nothing she liked so far”). Subjects’ behaviour reflected that of several of the strategies (e.g. Average and Least Misery were used), while other strategies were clearly not used.</w:t>
      </w:r>
    </w:p>
    <w:p w14:paraId="33FF5B37" w14:textId="77777777" w:rsidR="00A2746C" w:rsidRDefault="00A2746C" w:rsidP="00A2746C">
      <w:pPr>
        <w:pStyle w:val="MyPar"/>
      </w:pPr>
      <w:r>
        <w:t xml:space="preserve">In experiment 2, we presented subjects with item sequences  chosen by the aggregation strategies. Subjects rated how satisfied they thought the group members would be with those sequences, and explained their ratings. We found that the Multiplicative Strategy (which multiplies the individual ratings) performed best, in the sense that all subjects thought its sequence would keep all members of the group satisfied. Several strategies could be discarded as they clearly were judged to result in misery for group members. We also compared the subjects’ judgements with predictions by simple satisfaction modelling functions. Amongst other, we found that more accurate predictions resulted from using quadratic ratings (which e.g. makes the difference between a rating of 9 and 10 bigger than that between a rating of 5 and 6) and from normalization. </w:t>
      </w:r>
    </w:p>
    <w:p w14:paraId="665B2924" w14:textId="77777777" w:rsidR="00A2746C" w:rsidRDefault="00A2746C" w:rsidP="00A2746C">
      <w:pPr>
        <w:pStyle w:val="MyPar"/>
      </w:pPr>
      <w:r>
        <w:t xml:space="preserve">In responsive environments, group membership changes continuously. Deciding on the next five items to show based on the current members does not seem to be sensible strategy, as in the worse case, none of these members may be present anymore when the fifth item is shown. Additionally, overall satisfaction with a sequence may depend on the order of the items: for instance, it may be good for satisfaction to have mood consistency (not putting a depressing item in the middle of two </w:t>
      </w:r>
      <w:r>
        <w:t xml:space="preserve">happy ones), have a strong ending, and provide a good narrative flow. In experiment 3, we investigated how a previous item may influence the impact of the next item. Amongst others, we found that mood (resulting from the previous item) and topical relatedness can influence ratings for subsequent items. This means that in a responsive environment, aggregating individual profiles into a group profile should be done repeatedly, every time a decision needs to be made about the next item to display. </w:t>
      </w:r>
    </w:p>
    <w:p w14:paraId="524633F3" w14:textId="77777777" w:rsidR="00A2746C" w:rsidRDefault="00A2746C" w:rsidP="00A2746C">
      <w:pPr>
        <w:pStyle w:val="MyPar"/>
      </w:pPr>
      <w:r>
        <w:t xml:space="preserve">When adapting to a group of people, you cannot give everybody what they like all the time. However, you do not want anybody to get too dissatisfied. For instance, in a shop it would be bad if a customer were to leave and never come back, because they really cannot stand the background music. Many shops currently opt to play music that nobody really hates, but most people not love either. This may prevent losing customers, but would not result in increasing sales. An ideal shop would adapt the music to the customers in hearing range in such a way that they get songs they really like most of the time (increasing the likelihood of sales and returns to the shop). To achieve this, it is unavoidable that customers will occasionally get songs they hate, but this should happen at a moment when they can cope with it (e.g. when being in a good mood because they loved the previous songs). Therefore, it is important to monitor continuously how satisfied each group member is. Of course, it would put an unacceptable burden on the customers if they had to rate their satisfaction (on music, advertisements etc) all the time. Similarly, measuring this satisfaction via sensors (like heart rate monitors or facial expression recognizers) is not yet an option, as they tend to be too intrusive, inaccurate or expensive. So, we propose to model group members’ satisfaction, predicting it based on what we know about their likes and dislikes.  </w:t>
      </w:r>
    </w:p>
    <w:p w14:paraId="6A43E45D" w14:textId="77777777" w:rsidR="00A2746C" w:rsidRDefault="00A2746C" w:rsidP="00A2746C">
      <w:pPr>
        <w:pStyle w:val="MyPar"/>
      </w:pPr>
      <w:r>
        <w:t>In [5], we investigated four satisfaction functions to perform this modelling. We compared the predictions of these satisfaction functions with the predictions of real users. We also performed an experiment to compare the predictions with the real feelings of users</w:t>
      </w:r>
      <w:r>
        <w:rPr>
          <w:rStyle w:val="FootnoteReference"/>
        </w:rPr>
        <w:footnoteReference w:id="3"/>
      </w:r>
      <w:r>
        <w:t xml:space="preserve">. The satisfaction function that performed best defines the satisfaction of a user with a new item </w:t>
      </w:r>
      <w:r w:rsidRPr="000D1A3D">
        <w:rPr>
          <w:i/>
        </w:rPr>
        <w:t>i</w:t>
      </w:r>
      <w:r>
        <w:t xml:space="preserve"> after having seen a sequence of items </w:t>
      </w:r>
      <w:r w:rsidRPr="000D1A3D">
        <w:rPr>
          <w:i/>
        </w:rPr>
        <w:t>items</w:t>
      </w:r>
      <w:r>
        <w:t xml:space="preserve"> as:</w:t>
      </w:r>
    </w:p>
    <w:p w14:paraId="499CC3FD" w14:textId="77777777" w:rsidR="00A2746C" w:rsidRDefault="00CE0090" w:rsidP="00A2746C">
      <w:pPr>
        <w:pStyle w:val="MyPar"/>
        <w:ind w:firstLine="0"/>
      </w:pPr>
      <w:r w:rsidRPr="007F68F5">
        <w:rPr>
          <w:noProof/>
          <w:position w:val="-22"/>
        </w:rPr>
        <w:object w:dxaOrig="4959" w:dyaOrig="560" w14:anchorId="3770223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alt="" style="width:235.35pt;height:26.65pt;mso-width-percent:0;mso-height-percent:0;mso-width-percent:0;mso-height-percent:0" o:ole="">
            <v:imagedata r:id="rId7" o:title=""/>
          </v:shape>
          <o:OLEObject Type="Embed" ProgID="Equation.3" ShapeID="_x0000_i1026" DrawAspect="Content" ObjectID="_1834215208" r:id="rId8"/>
        </w:object>
      </w:r>
      <w:r w:rsidR="00A2746C">
        <w:t xml:space="preserve">with the impact on satisfaction of new item </w:t>
      </w:r>
      <w:r w:rsidR="00A2746C" w:rsidRPr="000D1A3D">
        <w:rPr>
          <w:i/>
        </w:rPr>
        <w:t>i</w:t>
      </w:r>
      <w:r w:rsidR="00A2746C">
        <w:t xml:space="preserve"> given existing satisfaction </w:t>
      </w:r>
      <w:r w:rsidR="00A2746C" w:rsidRPr="000D1A3D">
        <w:rPr>
          <w:i/>
        </w:rPr>
        <w:t>s</w:t>
      </w:r>
      <w:r w:rsidR="00A2746C">
        <w:t xml:space="preserve"> is defined as</w:t>
      </w:r>
    </w:p>
    <w:p w14:paraId="1E179296" w14:textId="77777777" w:rsidR="00A2746C" w:rsidRDefault="00A2746C" w:rsidP="00A2746C">
      <w:pPr>
        <w:pStyle w:val="MyFirstPar"/>
      </w:pPr>
      <w:r>
        <w:tab/>
        <w:t xml:space="preserve"> </w:t>
      </w:r>
      <w:r w:rsidR="00CE0090" w:rsidRPr="00623746">
        <w:rPr>
          <w:noProof/>
          <w:position w:val="-10"/>
        </w:rPr>
        <w:object w:dxaOrig="3540" w:dyaOrig="300" w14:anchorId="0E73F8CB">
          <v:shape id="_x0000_i1025" type="#_x0000_t75" alt="" style="width:177.35pt;height:15.35pt;mso-width-percent:0;mso-height-percent:0;mso-width-percent:0;mso-height-percent:0" o:ole="">
            <v:imagedata r:id="rId9" o:title=""/>
          </v:shape>
          <o:OLEObject Type="Embed" ProgID="Equation.3" ShapeID="_x0000_i1025" DrawAspect="Content" ObjectID="_1834215209" r:id="rId10"/>
        </w:object>
      </w:r>
    </w:p>
    <w:p w14:paraId="095F3786" w14:textId="77777777" w:rsidR="00A2746C" w:rsidRDefault="00A2746C" w:rsidP="00A2746C">
      <w:pPr>
        <w:pStyle w:val="MyFirstPar"/>
      </w:pPr>
      <w:r>
        <w:t xml:space="preserve">for 0 ≤ </w:t>
      </w:r>
      <w:r>
        <w:sym w:font="Symbol" w:char="F065"/>
      </w:r>
      <w:r>
        <w:t xml:space="preserve"> ≤1 and 0 ≤ </w:t>
      </w:r>
      <w:r>
        <w:sym w:font="Symbol" w:char="F064"/>
      </w:r>
      <w:r>
        <w:t xml:space="preserve"> ≤1. Parameter </w:t>
      </w:r>
      <w:r>
        <w:sym w:font="Symbol" w:char="F064"/>
      </w:r>
      <w:r>
        <w:t xml:space="preserve"> represents satisfaction decaying over time (with </w:t>
      </w:r>
      <w:r>
        <w:sym w:font="Symbol" w:char="F064"/>
      </w:r>
      <w:r>
        <w:t xml:space="preserve">=0 past items have no influence, with </w:t>
      </w:r>
      <w:r>
        <w:sym w:font="Symbol" w:char="F064"/>
      </w:r>
      <w:r>
        <w:t xml:space="preserve">=1 there is no decay). Parameter </w:t>
      </w:r>
      <w:r>
        <w:sym w:font="Symbol" w:char="F065"/>
      </w:r>
      <w:r>
        <w:t xml:space="preserve"> represents the influence of the user’s satisfaction based on previous items on the impact of a new item. The psychology and economics literature discussed in [5] shows that mood impacts evaluative judgement. For instance, half the subjects answering a questionnaire about their TVs received a small present first to put them in a good mood. These subjects were found to have televisions that performed better. Parameters </w:t>
      </w:r>
      <w:r>
        <w:sym w:font="Symbol" w:char="F064"/>
      </w:r>
      <w:r>
        <w:t xml:space="preserve"> and </w:t>
      </w:r>
      <w:r>
        <w:sym w:font="Symbol" w:char="F065"/>
      </w:r>
      <w:r>
        <w:t xml:space="preserve"> are user dependent (as confirmed in the experiment in [5]). We do not define Impact(</w:t>
      </w:r>
      <w:r w:rsidRPr="00C159DA">
        <w:rPr>
          <w:i/>
        </w:rPr>
        <w:t>i</w:t>
      </w:r>
      <w:r>
        <w:t>) in this paper, but refer readers to [5] for details: it involves quadratic ratings and normalization as found in the experiment discussed above.</w:t>
      </w:r>
    </w:p>
    <w:p w14:paraId="24E1B78B" w14:textId="77777777" w:rsidR="00A2746C" w:rsidRDefault="00A2746C" w:rsidP="00A2746C">
      <w:pPr>
        <w:pStyle w:val="MyPar"/>
      </w:pPr>
      <w:r>
        <w:lastRenderedPageBreak/>
        <w:t xml:space="preserve">The satisfaction function given does not take the satisfaction of other users into account, which may well influence a user’s satisfaction. As argued in [5] (based on social psychology), two main processes can take place. Firstly, the satisfaction of other users nearby can lead to so-called emotional contagion: other users being satisfied may increase a user’s satisfaction (e.g. if somebody smiles at you, you may automatically smile back and feel better as a result). An experiment in [5] shows that this emotional contagion depends on the relationship you have: you are more likely to be contaged by somebody you love or respect (like your child or boss) then by somebody you do not know. </w:t>
      </w:r>
    </w:p>
    <w:p w14:paraId="024B1B41" w14:textId="77777777" w:rsidR="00A2746C" w:rsidRDefault="00A2746C" w:rsidP="00A2746C">
      <w:pPr>
        <w:pStyle w:val="MyPar"/>
      </w:pPr>
      <w:r>
        <w:t xml:space="preserve">Secondly, the opinion of other users nearby may influence your own expressed opinion, based on the so-called process of conformity. Two types of conformity exist: (1) normative influence, in which you want to be part of the group and express an opinion like the rest of the group even though you still believe differently, and (2) informational influence, in which your own opinion changes because you believe the group must be right. </w:t>
      </w:r>
    </w:p>
    <w:p w14:paraId="1661323B" w14:textId="77777777" w:rsidR="00A2746C" w:rsidRPr="00172F7A" w:rsidRDefault="00A2746C" w:rsidP="00A2746C">
      <w:pPr>
        <w:pStyle w:val="MyPar"/>
      </w:pPr>
      <w:r>
        <w:t xml:space="preserve">More complicated satisfaction functions are presented in [5] to model emotional contagion and both types of conformity. However, the work presented in this paper uses the function given above (and its variants), postponing the incorporation of group influence to future work. </w:t>
      </w:r>
    </w:p>
    <w:p w14:paraId="29D0BBF5" w14:textId="77777777" w:rsidR="00A2746C" w:rsidRPr="00701067" w:rsidRDefault="00A2746C" w:rsidP="00A2746C">
      <w:pPr>
        <w:spacing w:before="360" w:after="120"/>
        <w:outlineLvl w:val="0"/>
        <w:rPr>
          <w:b/>
          <w:sz w:val="22"/>
          <w:szCs w:val="22"/>
        </w:rPr>
      </w:pPr>
      <w:r>
        <w:rPr>
          <w:b/>
          <w:sz w:val="22"/>
          <w:szCs w:val="22"/>
        </w:rPr>
        <w:t>3</w:t>
      </w:r>
      <w:r w:rsidRPr="002D048B">
        <w:rPr>
          <w:b/>
          <w:sz w:val="10"/>
          <w:szCs w:val="10"/>
        </w:rPr>
        <w:t xml:space="preserve"> </w:t>
      </w:r>
      <w:r w:rsidRPr="00701067">
        <w:rPr>
          <w:b/>
          <w:sz w:val="22"/>
          <w:szCs w:val="22"/>
        </w:rPr>
        <w:t>AGENT-BASED</w:t>
      </w:r>
      <w:r w:rsidRPr="002D048B">
        <w:rPr>
          <w:b/>
          <w:sz w:val="10"/>
          <w:szCs w:val="10"/>
        </w:rPr>
        <w:t xml:space="preserve"> </w:t>
      </w:r>
      <w:r>
        <w:rPr>
          <w:b/>
          <w:sz w:val="22"/>
          <w:szCs w:val="22"/>
        </w:rPr>
        <w:t>AMBIENT INTELLIGENCE</w:t>
      </w:r>
    </w:p>
    <w:p w14:paraId="47C76B2A" w14:textId="77777777" w:rsidR="00A2746C" w:rsidRPr="00EB5B0B" w:rsidRDefault="00A2746C" w:rsidP="00A2746C">
      <w:pPr>
        <w:jc w:val="both"/>
        <w:rPr>
          <w:rStyle w:val="MyFirstParChar"/>
        </w:rPr>
      </w:pPr>
      <w:r w:rsidRPr="00EB5B0B">
        <w:rPr>
          <w:rStyle w:val="MyFirstParChar"/>
        </w:rPr>
        <w:t>Software agents [</w:t>
      </w:r>
      <w:r>
        <w:rPr>
          <w:rStyle w:val="MyFirstParChar"/>
        </w:rPr>
        <w:t>6</w:t>
      </w:r>
      <w:r w:rsidRPr="00EB5B0B">
        <w:rPr>
          <w:rStyle w:val="MyFirstParChar"/>
        </w:rPr>
        <w:t>] have been used in responsive environments solutions</w:t>
      </w:r>
      <w:r>
        <w:rPr>
          <w:rStyle w:val="MyFirstParChar"/>
        </w:rPr>
        <w:t xml:space="preserve"> </w:t>
      </w:r>
      <w:r w:rsidRPr="00EB5B0B">
        <w:rPr>
          <w:rStyle w:val="MyFirstParChar"/>
        </w:rPr>
        <w:t xml:space="preserve">(e.g., [2, </w:t>
      </w:r>
      <w:r>
        <w:rPr>
          <w:rStyle w:val="MyFirstParChar"/>
        </w:rPr>
        <w:t>3, 7, 8</w:t>
      </w:r>
      <w:r w:rsidRPr="00EB5B0B">
        <w:rPr>
          <w:rStyle w:val="MyFirstParChar"/>
        </w:rPr>
        <w:t xml:space="preserve">, </w:t>
      </w:r>
      <w:r>
        <w:rPr>
          <w:rStyle w:val="MyFirstParChar"/>
        </w:rPr>
        <w:t>9] and [10</w:t>
      </w:r>
      <w:r w:rsidRPr="00EB5B0B">
        <w:rPr>
          <w:rStyle w:val="MyFirstParChar"/>
        </w:rPr>
        <w:t>]). The association of distributed</w:t>
      </w:r>
      <w:r>
        <w:rPr>
          <w:rStyle w:val="MyFirstParChar"/>
        </w:rPr>
        <w:t xml:space="preserve"> </w:t>
      </w:r>
      <w:r w:rsidRPr="00EB5B0B">
        <w:rPr>
          <w:rStyle w:val="MyFirstParChar"/>
        </w:rPr>
        <w:t>threads of execution with physical components allows for arbitrary</w:t>
      </w:r>
      <w:r>
        <w:rPr>
          <w:rStyle w:val="MyFirstParChar"/>
        </w:rPr>
        <w:t xml:space="preserve"> </w:t>
      </w:r>
      <w:r w:rsidRPr="00EB5B0B">
        <w:rPr>
          <w:rStyle w:val="MyFirstParChar"/>
        </w:rPr>
        <w:t>functionalities to be used in the management of resources and coordination</w:t>
      </w:r>
      <w:r>
        <w:rPr>
          <w:rStyle w:val="MyFirstParChar"/>
        </w:rPr>
        <w:t xml:space="preserve"> </w:t>
      </w:r>
      <w:r w:rsidRPr="00EB5B0B">
        <w:rPr>
          <w:rStyle w:val="MyFirstParChar"/>
        </w:rPr>
        <w:t>of activities. These functionalities are combined with the</w:t>
      </w:r>
      <w:r>
        <w:rPr>
          <w:rStyle w:val="MyFirstParChar"/>
        </w:rPr>
        <w:t xml:space="preserve"> </w:t>
      </w:r>
      <w:r w:rsidRPr="00EB5B0B">
        <w:rPr>
          <w:rStyle w:val="MyFirstParChar"/>
        </w:rPr>
        <w:t>desirable features of software agents such as proactiveness and social</w:t>
      </w:r>
      <w:r>
        <w:rPr>
          <w:rStyle w:val="MyFirstParChar"/>
        </w:rPr>
        <w:t xml:space="preserve"> abilities (communication) [6</w:t>
      </w:r>
      <w:r w:rsidRPr="00EB5B0B">
        <w:rPr>
          <w:rStyle w:val="MyFirstParChar"/>
        </w:rPr>
        <w:t>]. For instance, a digital camera able to</w:t>
      </w:r>
      <w:r>
        <w:rPr>
          <w:rStyle w:val="MyFirstParChar"/>
        </w:rPr>
        <w:t xml:space="preserve"> </w:t>
      </w:r>
      <w:r w:rsidRPr="00EB5B0B">
        <w:rPr>
          <w:rStyle w:val="MyFirstParChar"/>
        </w:rPr>
        <w:t>take pictures can be associated with a software agent that will manage</w:t>
      </w:r>
      <w:r>
        <w:rPr>
          <w:rStyle w:val="MyFirstParChar"/>
        </w:rPr>
        <w:t xml:space="preserve"> </w:t>
      </w:r>
      <w:r w:rsidRPr="00EB5B0B">
        <w:rPr>
          <w:rStyle w:val="MyFirstParChar"/>
        </w:rPr>
        <w:t>any requests from other components for pictures, but the agent</w:t>
      </w:r>
      <w:r>
        <w:rPr>
          <w:rStyle w:val="MyFirstParChar"/>
        </w:rPr>
        <w:t xml:space="preserve"> </w:t>
      </w:r>
      <w:r w:rsidRPr="00EB5B0B">
        <w:rPr>
          <w:rStyle w:val="MyFirstParChar"/>
        </w:rPr>
        <w:t>will also store the last n pictures taken. Even though the camera itself</w:t>
      </w:r>
      <w:r>
        <w:rPr>
          <w:rStyle w:val="MyFirstParChar"/>
        </w:rPr>
        <w:t xml:space="preserve"> </w:t>
      </w:r>
      <w:r w:rsidRPr="00EB5B0B">
        <w:rPr>
          <w:rStyle w:val="MyFirstParChar"/>
        </w:rPr>
        <w:t>may not have provisions for storing more than one picture, by</w:t>
      </w:r>
      <w:r>
        <w:rPr>
          <w:rStyle w:val="MyFirstParChar"/>
        </w:rPr>
        <w:t xml:space="preserve"> </w:t>
      </w:r>
      <w:r w:rsidRPr="00EB5B0B">
        <w:rPr>
          <w:rStyle w:val="MyFirstParChar"/>
        </w:rPr>
        <w:t>associating an independent thread of execution with it, we are able to</w:t>
      </w:r>
      <w:r>
        <w:rPr>
          <w:rStyle w:val="MyFirstParChar"/>
        </w:rPr>
        <w:t xml:space="preserve"> </w:t>
      </w:r>
      <w:r w:rsidRPr="00EB5B0B">
        <w:rPr>
          <w:rStyle w:val="MyFirstParChar"/>
        </w:rPr>
        <w:t>extend its functionalities.</w:t>
      </w:r>
      <w:r>
        <w:rPr>
          <w:rStyle w:val="MyFirstParChar"/>
        </w:rPr>
        <w:t xml:space="preserve"> </w:t>
      </w:r>
    </w:p>
    <w:p w14:paraId="4866F6D6" w14:textId="77777777" w:rsidR="00A2746C" w:rsidRPr="00EB5B0B" w:rsidRDefault="00A2746C" w:rsidP="00A2746C">
      <w:pPr>
        <w:ind w:firstLine="180"/>
        <w:jc w:val="both"/>
        <w:rPr>
          <w:rStyle w:val="MyFirstParChar"/>
        </w:rPr>
      </w:pPr>
      <w:r w:rsidRPr="00EB5B0B">
        <w:rPr>
          <w:rStyle w:val="MyFirstParChar"/>
        </w:rPr>
        <w:t>The same physical components can be associated with different</w:t>
      </w:r>
      <w:r>
        <w:rPr>
          <w:rStyle w:val="MyFirstParChar"/>
        </w:rPr>
        <w:t xml:space="preserve"> </w:t>
      </w:r>
      <w:r w:rsidRPr="00EB5B0B">
        <w:rPr>
          <w:rStyle w:val="MyFirstParChar"/>
        </w:rPr>
        <w:t>software agents at different times, thus allowing for hassle-free versioning.</w:t>
      </w:r>
      <w:r>
        <w:rPr>
          <w:rStyle w:val="MyFirstParChar"/>
        </w:rPr>
        <w:t xml:space="preserve"> </w:t>
      </w:r>
      <w:r w:rsidRPr="00EB5B0B">
        <w:rPr>
          <w:rStyle w:val="MyFirstParChar"/>
        </w:rPr>
        <w:t>In such case, engineers and programmers devise new versions</w:t>
      </w:r>
      <w:r>
        <w:rPr>
          <w:rStyle w:val="MyFirstParChar"/>
        </w:rPr>
        <w:t xml:space="preserve"> </w:t>
      </w:r>
      <w:r w:rsidRPr="00EB5B0B">
        <w:rPr>
          <w:rStyle w:val="MyFirstParChar"/>
        </w:rPr>
        <w:t>of software agents to replace previous ones, fixing any bugs,</w:t>
      </w:r>
      <w:r>
        <w:rPr>
          <w:rStyle w:val="MyFirstParChar"/>
        </w:rPr>
        <w:t xml:space="preserve"> </w:t>
      </w:r>
      <w:r w:rsidRPr="00EB5B0B">
        <w:rPr>
          <w:rStyle w:val="MyFirstParChar"/>
        </w:rPr>
        <w:t>improving on existing features or adding new functionalities to take</w:t>
      </w:r>
      <w:r>
        <w:rPr>
          <w:rStyle w:val="MyFirstParChar"/>
        </w:rPr>
        <w:t xml:space="preserve"> </w:t>
      </w:r>
      <w:r w:rsidRPr="00EB5B0B">
        <w:rPr>
          <w:rStyle w:val="MyFirstParChar"/>
        </w:rPr>
        <w:t>advantage of new components. The new software agents can take</w:t>
      </w:r>
      <w:r>
        <w:rPr>
          <w:rStyle w:val="MyFirstParChar"/>
        </w:rPr>
        <w:t xml:space="preserve"> </w:t>
      </w:r>
      <w:r w:rsidRPr="00EB5B0B">
        <w:rPr>
          <w:rStyle w:val="MyFirstParChar"/>
        </w:rPr>
        <w:t>over from their previous counterparts without the need to redesign</w:t>
      </w:r>
      <w:r>
        <w:rPr>
          <w:rStyle w:val="MyFirstParChar"/>
        </w:rPr>
        <w:t xml:space="preserve"> </w:t>
      </w:r>
      <w:r w:rsidRPr="00EB5B0B">
        <w:rPr>
          <w:rStyle w:val="MyFirstParChar"/>
        </w:rPr>
        <w:t>the whole solution from scratch</w:t>
      </w:r>
    </w:p>
    <w:p w14:paraId="31183BA5" w14:textId="77777777" w:rsidR="00A2746C" w:rsidRDefault="00A2746C" w:rsidP="00A2746C">
      <w:pPr>
        <w:ind w:firstLine="180"/>
        <w:jc w:val="both"/>
        <w:rPr>
          <w:sz w:val="18"/>
          <w:szCs w:val="18"/>
        </w:rPr>
      </w:pPr>
      <w:r>
        <w:rPr>
          <w:rStyle w:val="MyFirstParChar"/>
        </w:rPr>
        <w:t>We propose</w:t>
      </w:r>
      <w:r w:rsidRPr="00967AB8">
        <w:rPr>
          <w:rStyle w:val="MyFirstParChar"/>
        </w:rPr>
        <w:t xml:space="preserve"> to assign a software agent to every device and person in the environment</w:t>
      </w:r>
      <w:r>
        <w:rPr>
          <w:rStyle w:val="MyFirstParChar"/>
        </w:rPr>
        <w:t>, following [3</w:t>
      </w:r>
      <w:r w:rsidRPr="00967AB8">
        <w:rPr>
          <w:rStyle w:val="MyFirstParChar"/>
        </w:rPr>
        <w:t>]</w:t>
      </w:r>
      <w:r>
        <w:rPr>
          <w:rStyle w:val="MyFirstParChar"/>
        </w:rPr>
        <w:t>, to endow it with ambient intelligence</w:t>
      </w:r>
      <w:r w:rsidRPr="00967AB8">
        <w:rPr>
          <w:rStyle w:val="MyFirstParChar"/>
        </w:rPr>
        <w:t xml:space="preserve">. </w:t>
      </w:r>
      <w:r>
        <w:rPr>
          <w:rStyle w:val="MyFirstParChar"/>
        </w:rPr>
        <w:t>We illustrate this approach through f</w:t>
      </w:r>
      <w:r w:rsidRPr="00967AB8">
        <w:rPr>
          <w:rStyle w:val="MyFirstParChar"/>
        </w:rPr>
        <w:t xml:space="preserve">igure </w:t>
      </w:r>
      <w:r>
        <w:rPr>
          <w:rStyle w:val="MyFirstParChar"/>
        </w:rPr>
        <w:t>2: t</w:t>
      </w:r>
      <w:r w:rsidRPr="00967AB8">
        <w:rPr>
          <w:rStyle w:val="MyFirstParChar"/>
        </w:rPr>
        <w:t xml:space="preserve">he rectangular box represents the physical environment and the </w:t>
      </w:r>
      <w:r>
        <w:rPr>
          <w:rStyle w:val="MyFirstParChar"/>
        </w:rPr>
        <w:t>“</w:t>
      </w:r>
      <w:r w:rsidRPr="00967AB8">
        <w:rPr>
          <w:rStyle w:val="MyFirstParChar"/>
        </w:rPr>
        <w:t>cloud</w:t>
      </w:r>
      <w:r>
        <w:rPr>
          <w:rStyle w:val="MyFirstParChar"/>
        </w:rPr>
        <w:t>” above it stands for</w:t>
      </w:r>
      <w:r w:rsidRPr="00967AB8">
        <w:rPr>
          <w:rStyle w:val="MyFirstParChar"/>
        </w:rPr>
        <w:t xml:space="preserve"> the digital (logical) environment. For instance, customer</w:t>
      </w:r>
      <w:r>
        <w:rPr>
          <w:rStyle w:val="MyFirstParChar"/>
        </w:rPr>
        <w:t xml:space="preserve"> </w:t>
      </w:r>
      <w:r w:rsidRPr="00967AB8">
        <w:rPr>
          <w:rStyle w:val="MyFirstParChar"/>
        </w:rPr>
        <w:t xml:space="preserve">1 is represented by </w:t>
      </w:r>
      <w:r>
        <w:rPr>
          <w:rStyle w:val="MyFirstParChar"/>
        </w:rPr>
        <w:t xml:space="preserve">user </w:t>
      </w:r>
      <w:r w:rsidRPr="00967AB8">
        <w:rPr>
          <w:rStyle w:val="MyFirstParChar"/>
        </w:rPr>
        <w:t>agent c</w:t>
      </w:r>
      <w:r w:rsidRPr="00833243">
        <w:rPr>
          <w:rStyle w:val="MyFirstParChar"/>
          <w:vertAlign w:val="subscript"/>
        </w:rPr>
        <w:t>1</w:t>
      </w:r>
      <w:r w:rsidRPr="00967AB8">
        <w:rPr>
          <w:rStyle w:val="MyFirstParChar"/>
        </w:rPr>
        <w:t xml:space="preserve"> and device d</w:t>
      </w:r>
      <w:r w:rsidRPr="00833243">
        <w:rPr>
          <w:rStyle w:val="MyFirstParChar"/>
          <w:vertAlign w:val="subscript"/>
        </w:rPr>
        <w:t>1</w:t>
      </w:r>
      <w:r w:rsidRPr="00967AB8">
        <w:rPr>
          <w:rStyle w:val="MyFirstParChar"/>
        </w:rPr>
        <w:t xml:space="preserve"> by agent d</w:t>
      </w:r>
      <w:r w:rsidRPr="00833243">
        <w:rPr>
          <w:rStyle w:val="MyFirstParChar"/>
          <w:vertAlign w:val="subscript"/>
        </w:rPr>
        <w:t>1</w:t>
      </w:r>
      <w:r w:rsidRPr="00967AB8">
        <w:rPr>
          <w:rStyle w:val="MyFirstParChar"/>
        </w:rPr>
        <w:t>. Each device has an action radius</w:t>
      </w:r>
      <w:r>
        <w:rPr>
          <w:rStyle w:val="MyFirstParChar"/>
        </w:rPr>
        <w:t xml:space="preserve"> </w:t>
      </w:r>
      <w:r w:rsidRPr="00967AB8">
        <w:rPr>
          <w:rStyle w:val="MyFirstParChar"/>
        </w:rPr>
        <w:t>which may be determined</w:t>
      </w:r>
      <w:r>
        <w:rPr>
          <w:rStyle w:val="MyFirstParChar"/>
        </w:rPr>
        <w:t>,</w:t>
      </w:r>
      <w:r w:rsidRPr="00967AB8">
        <w:rPr>
          <w:rStyle w:val="MyFirstParChar"/>
        </w:rPr>
        <w:t xml:space="preserve"> </w:t>
      </w:r>
      <w:r w:rsidRPr="00833243">
        <w:rPr>
          <w:rStyle w:val="MyFirstParChar"/>
          <w:i/>
        </w:rPr>
        <w:t>e.g</w:t>
      </w:r>
      <w:r>
        <w:rPr>
          <w:rStyle w:val="MyFirstParChar"/>
        </w:rPr>
        <w:t>,</w:t>
      </w:r>
      <w:r w:rsidRPr="00967AB8">
        <w:rPr>
          <w:rStyle w:val="MyFirstParChar"/>
        </w:rPr>
        <w:t xml:space="preserve">. by the </w:t>
      </w:r>
      <w:r>
        <w:rPr>
          <w:rStyle w:val="MyFirstParChar"/>
        </w:rPr>
        <w:t>range</w:t>
      </w:r>
      <w:r w:rsidRPr="00967AB8">
        <w:rPr>
          <w:rStyle w:val="MyFirstParChar"/>
        </w:rPr>
        <w:t xml:space="preserve"> of its sensors or the visibility of its display</w:t>
      </w:r>
      <w:r>
        <w:rPr>
          <w:rStyle w:val="MyFirstParChar"/>
        </w:rPr>
        <w:t>. F</w:t>
      </w:r>
      <w:r w:rsidRPr="00967AB8">
        <w:rPr>
          <w:rStyle w:val="MyFirstParChar"/>
        </w:rPr>
        <w:t>or instance, device d</w:t>
      </w:r>
      <w:r w:rsidRPr="00833243">
        <w:rPr>
          <w:rStyle w:val="MyFirstParChar"/>
          <w:vertAlign w:val="subscript"/>
        </w:rPr>
        <w:t>2</w:t>
      </w:r>
      <w:r w:rsidRPr="00967AB8">
        <w:rPr>
          <w:rStyle w:val="MyFirstParChar"/>
        </w:rPr>
        <w:t xml:space="preserve"> is only reacting to two people in its action </w:t>
      </w:r>
      <w:r>
        <w:rPr>
          <w:rStyle w:val="MyFirstParChar"/>
        </w:rPr>
        <w:t>range</w:t>
      </w:r>
      <w:r w:rsidRPr="00967AB8">
        <w:rPr>
          <w:rStyle w:val="MyFirstParChar"/>
        </w:rPr>
        <w:t xml:space="preserve"> (customer</w:t>
      </w:r>
      <w:r>
        <w:rPr>
          <w:rStyle w:val="MyFirstParChar"/>
        </w:rPr>
        <w:t xml:space="preserve">s </w:t>
      </w:r>
      <w:r w:rsidRPr="00967AB8">
        <w:rPr>
          <w:rStyle w:val="MyFirstParChar"/>
        </w:rPr>
        <w:t xml:space="preserve">4 and </w:t>
      </w:r>
      <w:r>
        <w:rPr>
          <w:rStyle w:val="MyFirstParChar"/>
        </w:rPr>
        <w:t>5</w:t>
      </w:r>
      <w:r w:rsidRPr="00967AB8">
        <w:rPr>
          <w:rStyle w:val="MyFirstParChar"/>
        </w:rPr>
        <w:t>). Hence, c</w:t>
      </w:r>
      <w:r w:rsidRPr="00833243">
        <w:rPr>
          <w:rStyle w:val="MyFirstParChar"/>
          <w:vertAlign w:val="subscript"/>
        </w:rPr>
        <w:t>4</w:t>
      </w:r>
      <w:r w:rsidRPr="00967AB8">
        <w:rPr>
          <w:rStyle w:val="MyFirstParChar"/>
        </w:rPr>
        <w:t xml:space="preserve"> and c</w:t>
      </w:r>
      <w:r w:rsidRPr="00833243">
        <w:rPr>
          <w:rStyle w:val="MyFirstParChar"/>
          <w:vertAlign w:val="subscript"/>
        </w:rPr>
        <w:t>5</w:t>
      </w:r>
      <w:r w:rsidRPr="00967AB8">
        <w:rPr>
          <w:rStyle w:val="MyFirstParChar"/>
        </w:rPr>
        <w:t xml:space="preserve"> are the only </w:t>
      </w:r>
      <w:r>
        <w:rPr>
          <w:rStyle w:val="MyFirstParChar"/>
        </w:rPr>
        <w:t>user</w:t>
      </w:r>
      <w:r w:rsidRPr="00967AB8">
        <w:rPr>
          <w:rStyle w:val="MyFirstParChar"/>
        </w:rPr>
        <w:t xml:space="preserve"> agents currently communicating with d</w:t>
      </w:r>
      <w:r w:rsidRPr="00833243">
        <w:rPr>
          <w:rStyle w:val="MyFirstParChar"/>
          <w:vertAlign w:val="subscript"/>
        </w:rPr>
        <w:t>2</w:t>
      </w:r>
      <w:r>
        <w:rPr>
          <w:sz w:val="18"/>
          <w:szCs w:val="18"/>
        </w:rPr>
        <w:t xml:space="preserve">. </w:t>
      </w:r>
    </w:p>
    <w:p w14:paraId="09B502DC" w14:textId="77777777" w:rsidR="00A2746C" w:rsidRDefault="00A2746C" w:rsidP="00543E27">
      <w:pPr>
        <w:pStyle w:val="MyPar"/>
        <w:ind w:firstLine="181"/>
      </w:pPr>
      <w:r>
        <w:t xml:space="preserve">The environment is dynamic: both devices and humans may enter, move around, and leave at any moment. So, their </w:t>
      </w:r>
      <w:r>
        <w:t xml:space="preserve">corresponding agents need to be created, updated and terminated automatically. Additionally, the connections between the agents cannot be static, since with whom the agents need to communicate can change continuously. </w:t>
      </w:r>
    </w:p>
    <w:p w14:paraId="003B6434" w14:textId="77777777" w:rsidR="00A2746C" w:rsidRDefault="00A2746C" w:rsidP="00A2746C">
      <w:pPr>
        <w:pStyle w:val="MyPar"/>
      </w:pPr>
      <w:r>
        <w:t>To allow for ad-hoc communication among various parties, we follow [2, 3] and use a blackboard architecture, implemented using JavaSpaces</w:t>
      </w:r>
      <w:r>
        <w:rPr>
          <w:rStyle w:val="FootnoteReference"/>
        </w:rPr>
        <w:footnoteReference w:id="4"/>
      </w:r>
      <w:r>
        <w:t xml:space="preserve"> [11]. So, agents do not communicate directly, but constantly monitor and post messages on the tuple space. Similarly, physical entities communicate with the tuple space rather than directly with their corresponding agents. Administrator agents manage the ‘digital cloud’, continuously monitoring the tuple space and creating, updating and terminating agents to reflect what happens in the physical world. </w:t>
      </w:r>
    </w:p>
    <w:p w14:paraId="017FCDCD" w14:textId="77777777" w:rsidR="00A2746C" w:rsidRDefault="00A2746C" w:rsidP="00A2746C">
      <w:pPr>
        <w:pStyle w:val="MyH1"/>
        <w:outlineLvl w:val="0"/>
      </w:pPr>
      <w:r>
        <w:t xml:space="preserve">4 INTEGRATING GROUP ADAPTATION </w:t>
      </w:r>
    </w:p>
    <w:p w14:paraId="1F06D9B7" w14:textId="77777777" w:rsidR="00A2746C" w:rsidRDefault="00A2746C" w:rsidP="00A2746C">
      <w:pPr>
        <w:pStyle w:val="MyFirstPar"/>
      </w:pPr>
      <w:r>
        <w:t xml:space="preserve">To integrate group adaptation into the architecture, we made the device agents into aggregator agents: they decide what the device should do (e.g. which music to play) depending on the opinions of the user agents within their action radius. </w:t>
      </w:r>
    </w:p>
    <w:p w14:paraId="64DAF1B8" w14:textId="77777777" w:rsidR="00A2746C" w:rsidRDefault="00A2746C" w:rsidP="00A2746C">
      <w:pPr>
        <w:pStyle w:val="MyPar"/>
      </w:pPr>
      <w:r>
        <w:t>The goal of a user agent (c</w:t>
      </w:r>
      <w:r w:rsidRPr="007106BC">
        <w:rPr>
          <w:vertAlign w:val="subscript"/>
        </w:rPr>
        <w:t>1</w:t>
      </w:r>
      <w:r>
        <w:t xml:space="preserve"> etc in Figure 2) is to increase the satisfaction of its physical counterpart by influencing the items that are played on the shared device</w:t>
      </w:r>
      <w:r>
        <w:rPr>
          <w:rStyle w:val="FootnoteReference"/>
        </w:rPr>
        <w:footnoteReference w:id="5"/>
      </w:r>
      <w:r>
        <w:t>. It does so by viewing what is being displayed at a given time, updating its satisfaction and notifying the display’s aggregator agent. To update satisfaction, the formula described in Section 2 is used (and its variants), with predetermined values for its parameters</w:t>
      </w:r>
      <w:r>
        <w:rPr>
          <w:rStyle w:val="FootnoteReference"/>
        </w:rPr>
        <w:footnoteReference w:id="6"/>
      </w:r>
      <w:r>
        <w:t xml:space="preserve">. </w:t>
      </w:r>
    </w:p>
    <w:p w14:paraId="3E7813C2" w14:textId="77777777" w:rsidR="00A2746C" w:rsidRDefault="00A2746C" w:rsidP="00A2746C">
      <w:pPr>
        <w:pStyle w:val="MyPar"/>
      </w:pPr>
      <w:r>
        <w:t>The goal of an aggregator agent (d</w:t>
      </w:r>
      <w:r w:rsidRPr="00731391">
        <w:rPr>
          <w:vertAlign w:val="subscript"/>
        </w:rPr>
        <w:t>1</w:t>
      </w:r>
      <w:r>
        <w:t xml:space="preserve"> etc in Figure 2) is to control the shared device and keep the users within its action radius as satisfied as possible. It does so by continually asking each user agent within its action radius for its satisfaction in relation to the items displayed so far, and its profile (which provides ratings for the possible items to display next). </w:t>
      </w:r>
    </w:p>
    <w:p w14:paraId="1F9AD33E" w14:textId="77777777" w:rsidR="00A2746C" w:rsidRDefault="00A2746C" w:rsidP="00A2746C">
      <w:pPr>
        <w:pStyle w:val="MyPar"/>
      </w:pPr>
      <w:r>
        <w:t>The strategies described in [4] (like the Average Strategy and the Least Misery strategy) did not use information about the group members’ satisfaction so far. Receiving this information from the user agents allows our aggregator agents to use more sophisticated strategies. It seems sensible for the aggregator agents to try to increase the satisfaction of the least satisfied user within their action radius, whilst trying still to take into account the opinions of all other group members.</w:t>
      </w:r>
    </w:p>
    <w:p w14:paraId="11A6BC3B" w14:textId="77777777" w:rsidR="00A2746C" w:rsidRDefault="00A2746C" w:rsidP="00A2746C">
      <w:pPr>
        <w:pStyle w:val="MyPar"/>
      </w:pPr>
      <w:r>
        <w:t xml:space="preserve">Aitken [8] proposed that the aggregator agents determine (1) an aggregated profile (for the possible items to display next), using one of the standard algorithms described in [5], and (2) the least satisfied member so far. The aggregator agents then select the item with the highest (individual) rating for the least satisfied member. If multiple items with such highest rating exist -let us call these candidates- the aggregated profile is used, selecting the candidate that has the highest rating in the aggregated profile. For instance, in the example in Table 1, suppose John is the least satisfied member so far. Based on this, items A, E, and I are candidates to display next, as they have the highest rating for John. If the Average Strategy were used to determine the </w:t>
      </w:r>
      <w:r>
        <w:lastRenderedPageBreak/>
        <w:t>aggregated profile, item E would be displayed, as E has the highest average rating of the candidates for the group as a whole.</w:t>
      </w:r>
    </w:p>
    <w:p w14:paraId="448FDA95" w14:textId="77777777" w:rsidR="00A2746C" w:rsidRDefault="00A2746C" w:rsidP="00A2746C">
      <w:pPr>
        <w:pStyle w:val="MyPar"/>
      </w:pPr>
      <w:r>
        <w:t xml:space="preserve">This approach has some limitations. For instance, in the example of Table 1, suppose that Mary was the least satisfied member so far. Aitken’s approach would result in item A being displayed next. Whilst this clearly would make Mary more satisfied, it would have a bad effect on Adam’s satisfaction. Displaying item E may well be a better option, as it has almost the same rating for Mary whilst being significantly better for Adam. This could be incorporated into the approach by making higher level groupings of ratings, e.g. treating 9 and 10 as “highly satisfying”. Another modification needed is to base the aggregated profile used on the group </w:t>
      </w:r>
      <w:r w:rsidRPr="00CB68E0">
        <w:rPr>
          <w:i/>
        </w:rPr>
        <w:t>without</w:t>
      </w:r>
      <w:r>
        <w:t xml:space="preserve"> its least miserable member.</w:t>
      </w:r>
    </w:p>
    <w:p w14:paraId="5DC153FA" w14:textId="77777777" w:rsidR="00A2746C" w:rsidRDefault="00A2746C" w:rsidP="00A2746C">
      <w:pPr>
        <w:pStyle w:val="MyPar"/>
      </w:pPr>
      <w:r>
        <w:t xml:space="preserve">An alternative to Aitken’s approach would be to attach weights to users, in a manner similar to that described in [12]. Weights would depend on the user’s satisfaction, with satisfied users having a lower weight than dissatisfied ones. Using weights works well with some aggregation strategies (like the Average Strategy and Multiplicative Strategy), but is impossible to do with others (like the Least Misery Strategy). The advantage of the improved Aitken’s approach is that it works for all aggregation strategies, allowing the designer of a responsive environment to experiment with different options. Such experimentation is important, as whilst results from [4, 5] show an advantage of using the Multiplicative Strategy, the best strategy to use may well be domain dependent. </w:t>
      </w:r>
    </w:p>
    <w:p w14:paraId="5CBF9375" w14:textId="77777777" w:rsidR="00A2746C" w:rsidRDefault="00A2746C" w:rsidP="00A2746C">
      <w:pPr>
        <w:pStyle w:val="MyPar"/>
      </w:pPr>
      <w:r>
        <w:t xml:space="preserve">Another alternative would be to use the aggregation strategies discussed in [4], but apply them only to all members of the group that are currently unsatisfied. More research will be needed to decide on the best way to use the users’ satisfaction so-far, and to compare it with the use of the strategies discussed in [4]. </w:t>
      </w:r>
    </w:p>
    <w:p w14:paraId="3C88D016" w14:textId="77777777" w:rsidR="00A2746C" w:rsidRPr="00701067" w:rsidRDefault="00A2746C" w:rsidP="00A2746C">
      <w:pPr>
        <w:spacing w:before="360" w:after="120"/>
        <w:jc w:val="both"/>
        <w:outlineLvl w:val="0"/>
        <w:rPr>
          <w:b/>
          <w:sz w:val="22"/>
          <w:szCs w:val="22"/>
        </w:rPr>
      </w:pPr>
      <w:r>
        <w:rPr>
          <w:b/>
          <w:sz w:val="22"/>
          <w:szCs w:val="22"/>
        </w:rPr>
        <w:t>5</w:t>
      </w:r>
      <w:r w:rsidRPr="00701067">
        <w:rPr>
          <w:b/>
          <w:sz w:val="22"/>
          <w:szCs w:val="22"/>
        </w:rPr>
        <w:t xml:space="preserve">  IMPLEMENTATION</w:t>
      </w:r>
    </w:p>
    <w:p w14:paraId="67A3BB00" w14:textId="77777777" w:rsidR="00A2746C" w:rsidRDefault="00A2746C" w:rsidP="00A2746C">
      <w:pPr>
        <w:pStyle w:val="MyFirstPar"/>
      </w:pPr>
      <w:r>
        <w:t>The ideas presented in this paper have been successfully implemented as a proof-of-concept prototype: a PC with an of-the-shelf Bluetooth</w:t>
      </w:r>
      <w:r w:rsidRPr="001946DB">
        <w:rPr>
          <w:rFonts w:ascii="CMR7" w:hAnsi="CMR7" w:cs="CMR7"/>
          <w:sz w:val="14"/>
          <w:szCs w:val="14"/>
          <w:vertAlign w:val="superscript"/>
        </w:rPr>
        <w:t>TM</w:t>
      </w:r>
      <w:r>
        <w:rPr>
          <w:rFonts w:ascii="CMR7" w:hAnsi="CMR7" w:cs="CMR7"/>
          <w:sz w:val="14"/>
          <w:szCs w:val="14"/>
          <w:vertAlign w:val="superscript"/>
        </w:rPr>
        <w:t xml:space="preserve"> </w:t>
      </w:r>
      <w:r>
        <w:t>USB adaptor (our sensor) detected Bluetooth</w:t>
      </w:r>
      <w:r w:rsidRPr="001946DB">
        <w:rPr>
          <w:rFonts w:ascii="CMR7" w:hAnsi="CMR7" w:cs="CMR7"/>
          <w:sz w:val="14"/>
          <w:szCs w:val="14"/>
          <w:vertAlign w:val="superscript"/>
        </w:rPr>
        <w:t>TM</w:t>
      </w:r>
      <w:r>
        <w:t>-enabled mobile phones within its range and delivered music and/or video clips via the PC. The owners of mobile phones had to previously register their profile with preferred genres and artists/groups, and any dislikes, this information being stored in a database to which software agents representing the humans had access. This implementation has been reported in [8]: we used JADE</w:t>
      </w:r>
      <w:r>
        <w:rPr>
          <w:rStyle w:val="FootnoteReference"/>
        </w:rPr>
        <w:footnoteReference w:id="7"/>
      </w:r>
      <w:r>
        <w:t xml:space="preserve"> to start up and manage our agents as lightweight threads, communicating via JavaSpaces [11], defining a computational environment [13] using freely available technologies.</w:t>
      </w:r>
    </w:p>
    <w:p w14:paraId="0F49D521" w14:textId="77777777" w:rsidR="00A2746C" w:rsidRDefault="00A2746C" w:rsidP="00A2746C">
      <w:pPr>
        <w:pStyle w:val="MyPar"/>
      </w:pPr>
      <w:r>
        <w:t>We chose to use Bluetooth</w:t>
      </w:r>
      <w:r w:rsidRPr="001946DB">
        <w:rPr>
          <w:rFonts w:ascii="CMR7" w:hAnsi="CMR7" w:cs="CMR7"/>
          <w:sz w:val="14"/>
          <w:szCs w:val="14"/>
          <w:vertAlign w:val="superscript"/>
        </w:rPr>
        <w:t>TM</w:t>
      </w:r>
      <w:r>
        <w:t xml:space="preserve"> to detect users entering or leaving the environment, as it is a widely accepted open standard that is already integrated into many devices (like mobile phones). Infrared is only useful in line-of-sight, so was judged impractical for our purposes, as users would have to scan when </w:t>
      </w:r>
      <w:r>
        <w:t>entering or leaving the environment. We did not use RFID tags as these were not readily available, but we do not anticipate any significant problems if we were to use them instead of Bluetooth-enabled devices.</w:t>
      </w:r>
    </w:p>
    <w:p w14:paraId="1E821C92" w14:textId="77777777" w:rsidR="00A2746C" w:rsidRDefault="00AD1A57" w:rsidP="00A2746C">
      <w:pPr>
        <w:pStyle w:val="MyPar"/>
      </w:pPr>
      <w:r>
        <w:rPr>
          <w:noProof/>
        </w:rPr>
        <w:drawing>
          <wp:anchor distT="0" distB="0" distL="114300" distR="114300" simplePos="0" relativeHeight="251657728" behindDoc="1" locked="0" layoutInCell="1" allowOverlap="1" wp14:anchorId="1249C96A" wp14:editId="33C0B1C3">
            <wp:simplePos x="0" y="0"/>
            <wp:positionH relativeFrom="column">
              <wp:posOffset>58420</wp:posOffset>
            </wp:positionH>
            <wp:positionV relativeFrom="paragraph">
              <wp:posOffset>1320165</wp:posOffset>
            </wp:positionV>
            <wp:extent cx="2603500" cy="1358900"/>
            <wp:effectExtent l="0" t="0" r="6350" b="0"/>
            <wp:wrapTight wrapText="right">
              <wp:wrapPolygon edited="0">
                <wp:start x="0" y="0"/>
                <wp:lineTo x="0" y="21196"/>
                <wp:lineTo x="21495" y="21196"/>
                <wp:lineTo x="21495" y="0"/>
                <wp:lineTo x="0" y="0"/>
              </wp:wrapPolygon>
            </wp:wrapTight>
            <wp:docPr id="68" name="Picture 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8"/>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603500" cy="1358900"/>
                    </a:xfrm>
                    <a:prstGeom prst="rect">
                      <a:avLst/>
                    </a:prstGeom>
                    <a:noFill/>
                    <a:ln>
                      <a:noFill/>
                    </a:ln>
                  </pic:spPr>
                </pic:pic>
              </a:graphicData>
            </a:graphic>
            <wp14:sizeRelH relativeFrom="page">
              <wp14:pctWidth>0</wp14:pctWidth>
            </wp14:sizeRelH>
            <wp14:sizeRelV relativeFrom="page">
              <wp14:pctHeight>0</wp14:pctHeight>
            </wp14:sizeRelV>
          </wp:anchor>
        </w:drawing>
      </w:r>
      <w:r w:rsidR="00A2746C">
        <w:t>For evaluation purposes, we wanted to see graphs of the users’ predicted moods. We implemented a graph writing component using Java2D</w:t>
      </w:r>
      <w:r w:rsidR="00A2746C">
        <w:rPr>
          <w:rStyle w:val="FootnoteReference"/>
        </w:rPr>
        <w:footnoteReference w:id="8"/>
      </w:r>
      <w:r w:rsidR="00A2746C">
        <w:t>. We show in figure 3 a screenshot with a mood graph for one user in the environment. Hovering over the mood graph shows the details of the item being played at that time (the screen shot shows that a Star War’s MPEG file has been played as the first item). In this example, the Average Strategy has been used, and satisfaction has been modelled with a delta value of 0.5 and an epsilon of 0.5. A history of graphs is kept, allowing the designer to compare algorithms easily.</w:t>
      </w:r>
    </w:p>
    <w:p w14:paraId="008ECEC1" w14:textId="77777777" w:rsidR="00A2746C" w:rsidRDefault="00A2746C" w:rsidP="00A2746C">
      <w:pPr>
        <w:pStyle w:val="MyFirstPar"/>
        <w:jc w:val="center"/>
        <w:rPr>
          <w:b/>
        </w:rPr>
      </w:pPr>
    </w:p>
    <w:p w14:paraId="019E810F" w14:textId="77777777" w:rsidR="00A2746C" w:rsidRDefault="00A2746C" w:rsidP="00A2746C">
      <w:pPr>
        <w:pStyle w:val="MyFirstPar"/>
        <w:jc w:val="center"/>
        <w:rPr>
          <w:b/>
        </w:rPr>
      </w:pPr>
    </w:p>
    <w:p w14:paraId="38C9BFBE" w14:textId="77777777" w:rsidR="00A2746C" w:rsidRDefault="00A2746C" w:rsidP="00A2746C">
      <w:pPr>
        <w:pStyle w:val="MyFirstPar"/>
        <w:jc w:val="center"/>
        <w:outlineLvl w:val="0"/>
      </w:pPr>
      <w:r w:rsidRPr="008023D0">
        <w:rPr>
          <w:b/>
        </w:rPr>
        <w:t xml:space="preserve">Figure </w:t>
      </w:r>
      <w:r>
        <w:rPr>
          <w:b/>
        </w:rPr>
        <w:t>3</w:t>
      </w:r>
      <w:r w:rsidRPr="008023D0">
        <w:t>.</w:t>
      </w:r>
      <w:r>
        <w:t xml:space="preserve"> Screenshot of Mood Graph</w:t>
      </w:r>
    </w:p>
    <w:p w14:paraId="2ECDB034" w14:textId="77777777" w:rsidR="00A2746C" w:rsidRDefault="00A2746C" w:rsidP="00A2746C">
      <w:pPr>
        <w:pStyle w:val="MyPar"/>
      </w:pPr>
    </w:p>
    <w:p w14:paraId="23ED93C2" w14:textId="77777777" w:rsidR="00A2746C" w:rsidRDefault="00A2746C" w:rsidP="00A2746C">
      <w:pPr>
        <w:pStyle w:val="MyPar"/>
      </w:pPr>
    </w:p>
    <w:p w14:paraId="6C4A3D49" w14:textId="77777777" w:rsidR="00A2746C" w:rsidRDefault="00A2746C" w:rsidP="00A2746C">
      <w:pPr>
        <w:pStyle w:val="MyPar"/>
      </w:pPr>
      <w:r>
        <w:t>For the shared device, we implemented a media player using the Java Media Framework</w:t>
      </w:r>
      <w:r>
        <w:rPr>
          <w:rStyle w:val="FootnoteReference"/>
        </w:rPr>
        <w:footnoteReference w:id="9"/>
      </w:r>
      <w:r>
        <w:t>. This allowed us to control the device directly through the JavaSpaces (which would be impossible if using an existing media player such as Windows Media Player</w:t>
      </w:r>
      <w:r>
        <w:rPr>
          <w:rStyle w:val="FootnoteReference"/>
        </w:rPr>
        <w:footnoteReference w:id="10"/>
      </w:r>
      <w:r>
        <w:t xml:space="preserve">). </w:t>
      </w:r>
    </w:p>
    <w:p w14:paraId="771E021E" w14:textId="77777777" w:rsidR="00A2746C" w:rsidRDefault="00A2746C" w:rsidP="00A2746C">
      <w:pPr>
        <w:pStyle w:val="MyPar"/>
      </w:pPr>
      <w:r>
        <w:t xml:space="preserve">To ensure a degree of robustness, each agent has a backup. The main agents keep a dialogue with their backups, notifying them that they are still alive. If the main agent does not respond, then the backup spawns a new main agent, thus allowing the application to stay active. </w:t>
      </w:r>
    </w:p>
    <w:p w14:paraId="5544289E" w14:textId="77777777" w:rsidR="00A2746C" w:rsidRDefault="00A2746C" w:rsidP="00A2746C">
      <w:pPr>
        <w:pStyle w:val="MyPar"/>
      </w:pPr>
      <w:r>
        <w:t>The software has been extensively tested to ensure it can deal with a reasonable number of users (10-50 seems appropriate for the kind of scenarios we are interested in) and keeps working when individual processes fail (so, the backup system works). While the implementation provides a proof-of-concept, its goal is, in fact, far more ambitious. It provides an important tool for further research into this area. The software has been kept as generic as possible and facilities have been provided to tailor it: it is easy to modify the group modelling (e.g. add other aggregation algorithms, modify the satisfaction function, change parameters), and model other responsive environments.</w:t>
      </w:r>
    </w:p>
    <w:p w14:paraId="32D708A5" w14:textId="77777777" w:rsidR="00A2746C" w:rsidRDefault="00A2746C" w:rsidP="00A2746C">
      <w:pPr>
        <w:pStyle w:val="MyH1"/>
        <w:outlineLvl w:val="0"/>
      </w:pPr>
      <w:r>
        <w:t>6 RELATED WORK</w:t>
      </w:r>
    </w:p>
    <w:p w14:paraId="7E737436" w14:textId="77777777" w:rsidR="00A2746C" w:rsidRPr="00A460A5" w:rsidRDefault="00A2746C" w:rsidP="00A2746C">
      <w:pPr>
        <w:pStyle w:val="MyFirstPar"/>
      </w:pPr>
      <w:r>
        <w:t xml:space="preserve">The Intelligent Inhabited Environments research group [10] at the University of Essex explicitly proposes, as we do, the construction of intelligent responsive environments through the coupling of the physical world and virtual worlds inhabited by </w:t>
      </w:r>
      <w:r>
        <w:lastRenderedPageBreak/>
        <w:t>software agents. However, their test bed, the iDorm experiment, which is a student dormitory facility to serve a single student, equipped with a host of sensors and effectors that can monitor the activities in it and respond accordingly, only allows for single-occupant scenarios.</w:t>
      </w:r>
    </w:p>
    <w:p w14:paraId="2E3E2664" w14:textId="77777777" w:rsidR="00A2746C" w:rsidRDefault="00A2746C" w:rsidP="00A2746C">
      <w:pPr>
        <w:pStyle w:val="MyPar"/>
      </w:pPr>
      <w:r>
        <w:t>In [2, 3] a negotiation protocol is proposed to allow user ag-ents suggest settings for a shared device. The protocol is one-off in that it does not keep track of previous results. User agents communicate their best choices to the agent managing the shared device; these preferences define a space of possible config-urations from which one final configuration must be drawn. Each of the preferences is also associated with the “power” of influence of that user agent: depending on how high this power is, the final configuration will be closer to that agent’s choice. This is a primitive kind of group adaptation, in which the power of influence remains static.</w:t>
      </w:r>
    </w:p>
    <w:p w14:paraId="21539E06" w14:textId="77777777" w:rsidR="00A2746C" w:rsidRDefault="00A2746C" w:rsidP="00A2746C">
      <w:pPr>
        <w:pStyle w:val="MyPar"/>
      </w:pPr>
      <w:r>
        <w:t>Group rating naturally connects with the area of Collaborative Filtering [14], in which systems are built to predict a person’s affinity for items or information by connecting that person’s recorded profile with the profiles of a group of people and sharing ratings between similar persons. Location aware collaborative filtering and the filtering of interests of a group instead of a single person – which are specific proposals and contributions of our work – are two recent research topics not yet explored.</w:t>
      </w:r>
    </w:p>
    <w:p w14:paraId="1FE221E6" w14:textId="77777777" w:rsidR="00A2746C" w:rsidRDefault="00A2746C" w:rsidP="00A2746C">
      <w:pPr>
        <w:pStyle w:val="MyPar"/>
      </w:pPr>
      <w:r>
        <w:t xml:space="preserve">In [15], a system called MusicFX is described which is used in a company’s fitness centre to select background music to suit a group of people working out at any given time. MusicFX selects radio stations, rather than individual songs (so, is less concerned with a sequence of items). It uses a version of the Average without Misery strategy (see [3]). It does not try to model user satisfaction. </w:t>
      </w:r>
    </w:p>
    <w:p w14:paraId="413B469A" w14:textId="77777777" w:rsidR="00A2746C" w:rsidRDefault="00A2746C" w:rsidP="00A2746C">
      <w:pPr>
        <w:pStyle w:val="MyPar"/>
      </w:pPr>
      <w:r>
        <w:t>A relevant project, with similar goals and methodology to ours, is found in [16]. In this work, the authors propose the application of rating techniques based on Social Choice Theory to determine the contents of public displays. It is even argued, in agreement with our approach, that a distributed architecture is appropriate to leverage system performance. Our contribution with respect to that work lies in the explicit use of multi-agent technologies, which enables a more descriptive and yet concise presentation of our architecture.</w:t>
      </w:r>
    </w:p>
    <w:p w14:paraId="1A1057D1" w14:textId="77777777" w:rsidR="00A2746C" w:rsidRDefault="00A2746C" w:rsidP="00A2746C">
      <w:pPr>
        <w:pStyle w:val="MyH1"/>
        <w:outlineLvl w:val="0"/>
      </w:pPr>
      <w:r>
        <w:t>7 CONCLUSIONS &amp; FUTURE WORK</w:t>
      </w:r>
    </w:p>
    <w:p w14:paraId="0005A68D" w14:textId="77777777" w:rsidR="00A2746C" w:rsidRDefault="00A2746C" w:rsidP="00A2746C">
      <w:pPr>
        <w:pStyle w:val="MyFirstPar"/>
      </w:pPr>
      <w:r>
        <w:t xml:space="preserve">This paper shows how existing work on agent architectures for ambient intelligence can be combined with work on group adaptation to obtain responsive environments that take the affective state (satisfaction) of their users into account. A proof-of-concept implementation was presented, which has been functionally tested and which will provide a test bed for further research into this area. We intend to perform a range of experiments to see how well the aggregator agents function and to explore the advantages and disadvantages of several approaches for incorporating user satisfaction into the decision making. </w:t>
      </w:r>
    </w:p>
    <w:p w14:paraId="73D3167B" w14:textId="77777777" w:rsidR="00A2746C" w:rsidRDefault="00A2746C" w:rsidP="00A2746C">
      <w:pPr>
        <w:pStyle w:val="MyPar"/>
      </w:pPr>
      <w:r>
        <w:t xml:space="preserve">In the architecture and implementation presented so far, the satisfaction of a user only depends on the items displayed, not directly on the other users in the environment.  So, it does not yet allow for contagion and conformity. We would like to extend this work to incorporate this. This would mean that user agents should be communicating with the agents of users nearby to </w:t>
      </w:r>
      <w:r>
        <w:t>express their satisfaction. The importance of modelling contagion and conformity will depend on the application domain. For example, when adapting music, contagion and conformity are likely to be higher in certain environments (like a pub) than in other environments (like a bookshop), as users are more aware of each other (looking at each other rather than at the books) and are more likely to know each other (as mentioned the relationship type influences contagion). To reduce communication, it may well be sufficient for agents to communicate their satisfaction only to agents representing users that their users have a good relationship with. So, for instance, the agents representing a mother and her child would exchange information, but the agents of two strangers not.</w:t>
      </w:r>
    </w:p>
    <w:p w14:paraId="041273C9" w14:textId="77777777" w:rsidR="00A2746C" w:rsidRDefault="00A2746C" w:rsidP="00A2746C">
      <w:pPr>
        <w:pStyle w:val="MyPar"/>
      </w:pPr>
      <w:r>
        <w:t>We have considered in our studies and experiments rather sophisticated rating strategies, derived from Social Choice Theory. The items considered to be rated, however, have been a little simplistic in our experiments so far. Considering for example the train station scenario devised in the beginning of this article, we can have a group of heterogeneous agents with diverse interests competing for the display. These different interests may not be comparable (e.g. the interest in learning about available products in nearby shops and the need to obtain information about train departures), and in this case more sophisticated decision procedures must be implemented in the aggregator agent, probably resorting to multi-attribute decision procedures. We have thus far also employed simplifying assumptions about the behaviour of the users, as well as of our designed aggregating agents. One of our major simplifying assumptions is that the goals of the users are unique and stable, and we extend this assumption to the aggregating agent. More refined implementations shall be considered in the future, in which we take into account that users can change their minds and interests dynamically and yet predictably, and in which we refine the behaviour of the aggregating agents so that they can change their goals and strategies depending on the group of agents that is sensed to be in the vicinity of a display.</w:t>
      </w:r>
    </w:p>
    <w:p w14:paraId="52F09419" w14:textId="77777777" w:rsidR="00A2746C" w:rsidRDefault="00A2746C" w:rsidP="00A2746C">
      <w:pPr>
        <w:pStyle w:val="MyH1"/>
        <w:outlineLvl w:val="0"/>
      </w:pPr>
      <w:r>
        <w:t>REFERENCES</w:t>
      </w:r>
    </w:p>
    <w:p w14:paraId="726E781E" w14:textId="77777777" w:rsidR="00A2746C" w:rsidRPr="00D53130" w:rsidRDefault="00A2746C" w:rsidP="00A2746C">
      <w:pPr>
        <w:pStyle w:val="MyRef"/>
      </w:pPr>
      <w:r w:rsidRPr="00D53130">
        <w:t>[1] A. Gaggioli</w:t>
      </w:r>
      <w:r>
        <w:t xml:space="preserve">. </w:t>
      </w:r>
      <w:r w:rsidRPr="00D53130">
        <w:t>Optimal Experience in Ambient</w:t>
      </w:r>
      <w:r>
        <w:t xml:space="preserve"> </w:t>
      </w:r>
      <w:r w:rsidRPr="00D53130">
        <w:t xml:space="preserve">Intelligence. </w:t>
      </w:r>
      <w:r w:rsidRPr="00D53130">
        <w:rPr>
          <w:lang w:val="pt-BR"/>
        </w:rPr>
        <w:t xml:space="preserve">In: </w:t>
      </w:r>
      <w:r w:rsidRPr="00D53130">
        <w:rPr>
          <w:i/>
          <w:lang w:val="pt-BR"/>
        </w:rPr>
        <w:t>Ambient Intelligence</w:t>
      </w:r>
      <w:r w:rsidRPr="00D53130">
        <w:rPr>
          <w:lang w:val="pt-BR"/>
        </w:rPr>
        <w:t>. G. Riva, F. Vatalaro, F. Davide, M. Alcañiz (Eds.)</w:t>
      </w:r>
      <w:r>
        <w:rPr>
          <w:lang w:val="pt-BR"/>
        </w:rPr>
        <w:t xml:space="preserve">. </w:t>
      </w:r>
      <w:r>
        <w:t xml:space="preserve">IOS Press </w:t>
      </w:r>
      <w:r w:rsidRPr="00D53130">
        <w:t>(2005).</w:t>
      </w:r>
    </w:p>
    <w:p w14:paraId="13030C77" w14:textId="77777777" w:rsidR="00A2746C" w:rsidRDefault="00A2746C" w:rsidP="00A2746C">
      <w:pPr>
        <w:pStyle w:val="MyRef"/>
      </w:pPr>
      <w:r w:rsidRPr="00D53130">
        <w:rPr>
          <w:lang w:val="pt-BR"/>
        </w:rPr>
        <w:t>[2] F. S. Correa da Silva and W.</w:t>
      </w:r>
      <w:r>
        <w:rPr>
          <w:lang w:val="pt-BR"/>
        </w:rPr>
        <w:t xml:space="preserve"> </w:t>
      </w:r>
      <w:r w:rsidRPr="00D53130">
        <w:rPr>
          <w:lang w:val="pt-BR"/>
        </w:rPr>
        <w:t xml:space="preserve">W. Vasconcelos. </w:t>
      </w:r>
      <w:r>
        <w:t xml:space="preserve">Managing Responsive Environments with Software Agents. </w:t>
      </w:r>
      <w:r>
        <w:rPr>
          <w:i/>
        </w:rPr>
        <w:t xml:space="preserve">Journal of Appl. </w:t>
      </w:r>
      <w:r w:rsidRPr="00D53130">
        <w:rPr>
          <w:i/>
        </w:rPr>
        <w:t xml:space="preserve"> A</w:t>
      </w:r>
      <w:r>
        <w:rPr>
          <w:i/>
        </w:rPr>
        <w:t>I</w:t>
      </w:r>
      <w:r>
        <w:t xml:space="preserve"> (in press).</w:t>
      </w:r>
    </w:p>
    <w:p w14:paraId="7701E48E" w14:textId="77777777" w:rsidR="00A2746C" w:rsidRDefault="00A2746C" w:rsidP="00A2746C">
      <w:pPr>
        <w:pStyle w:val="MyRef"/>
      </w:pPr>
      <w:r w:rsidRPr="00C146AF">
        <w:rPr>
          <w:lang w:val="pt-BR"/>
        </w:rPr>
        <w:t xml:space="preserve">[3] F. S. Correa da Silva and W. W. Vasconcelos. </w:t>
      </w:r>
      <w:r>
        <w:t>Agent-Based Manage-ment of Responsive Environments. Procs. 9</w:t>
      </w:r>
      <w:r w:rsidRPr="00BE0CD1">
        <w:rPr>
          <w:vertAlign w:val="superscript"/>
        </w:rPr>
        <w:t>th</w:t>
      </w:r>
      <w:r>
        <w:t xml:space="preserve"> AI*IA, Milan, Italy. LNAI Vol. </w:t>
      </w:r>
      <w:r w:rsidRPr="006C1CEE">
        <w:t xml:space="preserve">3673, </w:t>
      </w:r>
      <w:r>
        <w:t>Springer-Verlag</w:t>
      </w:r>
      <w:r w:rsidRPr="006C1CEE">
        <w:t>,</w:t>
      </w:r>
      <w:r>
        <w:t xml:space="preserve"> Berlin, Germany (2005).</w:t>
      </w:r>
    </w:p>
    <w:p w14:paraId="1EAA05B0" w14:textId="77777777" w:rsidR="00A2746C" w:rsidRDefault="00A2746C" w:rsidP="00A2746C">
      <w:pPr>
        <w:pStyle w:val="MyRef"/>
      </w:pPr>
      <w:r>
        <w:t xml:space="preserve">[4] J. Masthoff. Group Modeling: Selecting a Sequence of Television Items to Suit a Group of Viewers. </w:t>
      </w:r>
      <w:r w:rsidRPr="00236D11">
        <w:rPr>
          <w:i/>
        </w:rPr>
        <w:t xml:space="preserve">UMUAI, </w:t>
      </w:r>
      <w:r w:rsidRPr="00D53130">
        <w:t>14:</w:t>
      </w:r>
      <w:r>
        <w:t>37-85 (2004).</w:t>
      </w:r>
    </w:p>
    <w:p w14:paraId="7BA8EC34" w14:textId="77777777" w:rsidR="00A2746C" w:rsidRDefault="00A2746C" w:rsidP="00A2746C">
      <w:pPr>
        <w:pStyle w:val="MyRef"/>
      </w:pPr>
      <w:r>
        <w:t xml:space="preserve">[5] J. Masthoff and A. Gatt. In Pursuit of Satisfaction and the Prevention of Embarrassment: Affective State in Group Recommender Systems. </w:t>
      </w:r>
      <w:r w:rsidRPr="00236D11">
        <w:rPr>
          <w:i/>
        </w:rPr>
        <w:t xml:space="preserve">UMUAI, </w:t>
      </w:r>
      <w:r w:rsidRPr="00BE0CD1">
        <w:t>16</w:t>
      </w:r>
      <w:r>
        <w:t xml:space="preserve">:281-319 (2006). </w:t>
      </w:r>
    </w:p>
    <w:p w14:paraId="1A7A7ABB" w14:textId="77777777" w:rsidR="00A2746C" w:rsidRDefault="00A2746C" w:rsidP="00A2746C">
      <w:pPr>
        <w:pStyle w:val="MyRef"/>
      </w:pPr>
      <w:r>
        <w:t xml:space="preserve">[6] M. Wooldridge, </w:t>
      </w:r>
      <w:r>
        <w:rPr>
          <w:i/>
          <w:iCs/>
        </w:rPr>
        <w:t>An Introduction to Multi-Agent Systems</w:t>
      </w:r>
      <w:r>
        <w:t xml:space="preserve">, John Wiley &amp; Sons Ltd., England, U.K., (2002). </w:t>
      </w:r>
    </w:p>
    <w:p w14:paraId="67C32AE1" w14:textId="77777777" w:rsidR="00A2746C" w:rsidRDefault="00A2746C" w:rsidP="00A2746C">
      <w:pPr>
        <w:pStyle w:val="MyRef"/>
      </w:pPr>
      <w:r>
        <w:t xml:space="preserve">[7] Jan M.V. Misker, Cor J. Veenman, and Leon J.M. Rothkrantz, Groups of Collaborating Users and Agents in Ambient Intelligent Environments. In: </w:t>
      </w:r>
      <w:r w:rsidRPr="0083260D">
        <w:rPr>
          <w:i/>
        </w:rPr>
        <w:t>Procs. 3rd Int’l Joint Conf. on Autonomous Agents &amp; Multi-Agent Systems</w:t>
      </w:r>
      <w:r>
        <w:t xml:space="preserve"> (AAMAS’04), NY, USA. ACM Press. (2004)</w:t>
      </w:r>
    </w:p>
    <w:p w14:paraId="4550D680" w14:textId="77777777" w:rsidR="00A2746C" w:rsidRDefault="00A2746C" w:rsidP="00A2746C">
      <w:pPr>
        <w:pStyle w:val="MyRef"/>
      </w:pPr>
      <w:r>
        <w:t>[8</w:t>
      </w:r>
      <w:r w:rsidRPr="00696256">
        <w:t xml:space="preserve">] </w:t>
      </w:r>
      <w:r>
        <w:t>C. Aitken</w:t>
      </w:r>
      <w:r w:rsidRPr="00696256">
        <w:t xml:space="preserve">. </w:t>
      </w:r>
      <w:r w:rsidRPr="006C1CEE">
        <w:rPr>
          <w:i/>
        </w:rPr>
        <w:t>Designing Software Agents to Manage Responsive Envir</w:t>
      </w:r>
      <w:r>
        <w:rPr>
          <w:i/>
        </w:rPr>
        <w:t>-</w:t>
      </w:r>
      <w:r w:rsidRPr="006C1CEE">
        <w:rPr>
          <w:i/>
        </w:rPr>
        <w:t>onments</w:t>
      </w:r>
      <w:r>
        <w:t>. B.Sc. Hon</w:t>
      </w:r>
      <w:r w:rsidRPr="00696256">
        <w:t>s</w:t>
      </w:r>
      <w:r>
        <w:t>. Report.</w:t>
      </w:r>
      <w:r w:rsidRPr="00696256">
        <w:t xml:space="preserve"> </w:t>
      </w:r>
      <w:r>
        <w:t xml:space="preserve">Dept. of Computing Science, University </w:t>
      </w:r>
      <w:r w:rsidRPr="00696256">
        <w:t xml:space="preserve">of Aberdeen, </w:t>
      </w:r>
      <w:r>
        <w:t>UK</w:t>
      </w:r>
      <w:r w:rsidRPr="00696256">
        <w:t xml:space="preserve">,  </w:t>
      </w:r>
      <w:r w:rsidRPr="008474FB">
        <w:rPr>
          <w:rFonts w:ascii="Courier New" w:hAnsi="Courier New" w:cs="Courier New"/>
          <w:b/>
          <w:sz w:val="14"/>
          <w:szCs w:val="14"/>
        </w:rPr>
        <w:t>http://www.csd.abdn.ac.uk/</w:t>
      </w:r>
      <w:r>
        <w:rPr>
          <w:rFonts w:ascii="Courier New" w:hAnsi="Courier New" w:cs="Courier New"/>
          <w:b/>
          <w:sz w:val="14"/>
          <w:szCs w:val="14"/>
        </w:rPr>
        <w:t xml:space="preserve"> </w:t>
      </w:r>
      <w:r w:rsidRPr="008474FB">
        <w:rPr>
          <w:rFonts w:ascii="Courier New" w:hAnsi="Courier New" w:cs="Courier New"/>
          <w:b/>
          <w:sz w:val="14"/>
          <w:szCs w:val="14"/>
        </w:rPr>
        <w:t>~wvasconc/aitken_chris.pdf</w:t>
      </w:r>
      <w:r w:rsidRPr="00696256">
        <w:t>.</w:t>
      </w:r>
      <w:r>
        <w:t xml:space="preserve"> (2006).</w:t>
      </w:r>
    </w:p>
    <w:p w14:paraId="4941C165" w14:textId="77777777" w:rsidR="00A2746C" w:rsidRPr="00696256" w:rsidRDefault="00A2746C" w:rsidP="00A2746C">
      <w:pPr>
        <w:pStyle w:val="MyRef"/>
      </w:pPr>
      <w:r>
        <w:t xml:space="preserve">[9] G. Vizzari, </w:t>
      </w:r>
      <w:r w:rsidRPr="00C6327D">
        <w:rPr>
          <w:i/>
        </w:rPr>
        <w:t>Dynamic Interaction Spaces and Situated Multi-Agent Systems: from a Multi-Layered Model to a Distributed Architecture</w:t>
      </w:r>
      <w:r>
        <w:t xml:space="preserve">, </w:t>
      </w:r>
      <w:r>
        <w:lastRenderedPageBreak/>
        <w:t>Ph.D. Dissertation, Universita degli Studi di Milano-Bicocca, Milan, Italy. (2004)</w:t>
      </w:r>
    </w:p>
    <w:p w14:paraId="7AA511CF" w14:textId="77777777" w:rsidR="00A2746C" w:rsidRDefault="00A2746C" w:rsidP="00A2746C">
      <w:pPr>
        <w:pStyle w:val="MyRef"/>
      </w:pPr>
      <w:r>
        <w:t xml:space="preserve">[10] </w:t>
      </w:r>
      <w:r w:rsidRPr="00A460A5">
        <w:t>H. Hagras, V. Callaghan, M. Colley, G. Clarke, A.</w:t>
      </w:r>
      <w:r>
        <w:t xml:space="preserve"> Pounds-Cornish, and H. Duman. </w:t>
      </w:r>
      <w:r w:rsidRPr="00A460A5">
        <w:t>Creating an Ambient Intelligence En</w:t>
      </w:r>
      <w:r>
        <w:t xml:space="preserve">vironment Using Embedded Agents. </w:t>
      </w:r>
      <w:r w:rsidRPr="00A460A5">
        <w:rPr>
          <w:i/>
          <w:iCs/>
        </w:rPr>
        <w:t>IEEE Intelligent Systems</w:t>
      </w:r>
      <w:r w:rsidRPr="00A460A5">
        <w:t xml:space="preserve">, </w:t>
      </w:r>
      <w:r w:rsidRPr="006C1CEE">
        <w:rPr>
          <w:bCs/>
        </w:rPr>
        <w:t>19</w:t>
      </w:r>
      <w:r>
        <w:t xml:space="preserve">:12-20, </w:t>
      </w:r>
      <w:r w:rsidRPr="00A460A5">
        <w:t>(2004).</w:t>
      </w:r>
    </w:p>
    <w:p w14:paraId="29A93566" w14:textId="77777777" w:rsidR="00A2746C" w:rsidRPr="00696256" w:rsidRDefault="00A2746C" w:rsidP="00A2746C">
      <w:pPr>
        <w:pStyle w:val="MyRef"/>
      </w:pPr>
      <w:r w:rsidRPr="00696256">
        <w:t>[</w:t>
      </w:r>
      <w:r>
        <w:t>11</w:t>
      </w:r>
      <w:r w:rsidRPr="00696256">
        <w:t xml:space="preserve">] </w:t>
      </w:r>
      <w:r>
        <w:t xml:space="preserve">E. </w:t>
      </w:r>
      <w:r w:rsidRPr="00696256">
        <w:t xml:space="preserve">Freeman, </w:t>
      </w:r>
      <w:r>
        <w:t>S.</w:t>
      </w:r>
      <w:r w:rsidRPr="00696256">
        <w:t xml:space="preserve"> Hupfer, and </w:t>
      </w:r>
      <w:r>
        <w:t xml:space="preserve">K. Arnold. </w:t>
      </w:r>
      <w:r w:rsidRPr="00225F73">
        <w:rPr>
          <w:i/>
        </w:rPr>
        <w:t>JavaSpaces: Principles, Patterns and Practice</w:t>
      </w:r>
      <w:r w:rsidRPr="00696256">
        <w:t>. Addison-Wesley, USA.</w:t>
      </w:r>
      <w:r>
        <w:t xml:space="preserve"> (1999)</w:t>
      </w:r>
    </w:p>
    <w:p w14:paraId="5B7265FE" w14:textId="77777777" w:rsidR="00A2746C" w:rsidRPr="00DD4115" w:rsidRDefault="00A2746C" w:rsidP="00A2746C">
      <w:pPr>
        <w:pStyle w:val="MyRef"/>
        <w:rPr>
          <w:i/>
          <w:iCs/>
        </w:rPr>
      </w:pPr>
      <w:r>
        <w:t xml:space="preserve">[12] J. Masthoff. Selecting News to Suit a Group of Criteria: An Exploration. In: </w:t>
      </w:r>
      <w:r>
        <w:rPr>
          <w:i/>
          <w:iCs/>
        </w:rPr>
        <w:t>Procs. 4</w:t>
      </w:r>
      <w:r w:rsidRPr="006C1CEE">
        <w:rPr>
          <w:i/>
          <w:iCs/>
          <w:vertAlign w:val="superscript"/>
        </w:rPr>
        <w:t>th</w:t>
      </w:r>
      <w:r>
        <w:rPr>
          <w:i/>
          <w:iCs/>
        </w:rPr>
        <w:t xml:space="preserve"> Workshop on Personalization in Future TV - Methods, Technologies, Applications for Personalized TV, </w:t>
      </w:r>
      <w:r>
        <w:t>Eindhoven, Netherlands. Springer</w:t>
      </w:r>
      <w:r w:rsidRPr="00DD4115">
        <w:rPr>
          <w:iCs/>
        </w:rPr>
        <w:t xml:space="preserve"> (</w:t>
      </w:r>
      <w:r>
        <w:t>2005).</w:t>
      </w:r>
    </w:p>
    <w:p w14:paraId="4EBF963E" w14:textId="77777777" w:rsidR="00A2746C" w:rsidRDefault="00A2746C" w:rsidP="00A2746C">
      <w:pPr>
        <w:pStyle w:val="MyRef"/>
      </w:pPr>
      <w:r w:rsidRPr="00696256">
        <w:t xml:space="preserve"> [</w:t>
      </w:r>
      <w:r>
        <w:t>13</w:t>
      </w:r>
      <w:r w:rsidRPr="00696256">
        <w:t xml:space="preserve">] </w:t>
      </w:r>
      <w:r>
        <w:t xml:space="preserve">D. </w:t>
      </w:r>
      <w:r w:rsidRPr="00696256">
        <w:t xml:space="preserve">Weyns, </w:t>
      </w:r>
      <w:r>
        <w:t>M.</w:t>
      </w:r>
      <w:r w:rsidRPr="00696256">
        <w:t xml:space="preserve"> Schumacher, </w:t>
      </w:r>
      <w:r>
        <w:t xml:space="preserve">A. </w:t>
      </w:r>
      <w:r w:rsidRPr="00696256">
        <w:t xml:space="preserve">Ricci, </w:t>
      </w:r>
      <w:r>
        <w:t xml:space="preserve">M. </w:t>
      </w:r>
      <w:r w:rsidRPr="00696256">
        <w:t xml:space="preserve">Viroli, and </w:t>
      </w:r>
      <w:r>
        <w:t xml:space="preserve">T. Holvoet. </w:t>
      </w:r>
      <w:r w:rsidRPr="00696256">
        <w:t>Environments in Multi</w:t>
      </w:r>
      <w:r>
        <w:t>-A</w:t>
      </w:r>
      <w:r w:rsidRPr="00696256">
        <w:t xml:space="preserve">gent Systems. </w:t>
      </w:r>
      <w:r w:rsidRPr="00225F73">
        <w:rPr>
          <w:i/>
        </w:rPr>
        <w:t xml:space="preserve">The Knowledge Engineering Review, </w:t>
      </w:r>
      <w:r w:rsidRPr="00FD1027">
        <w:t>20</w:t>
      </w:r>
      <w:r>
        <w:t>:127-</w:t>
      </w:r>
      <w:r w:rsidRPr="00696256">
        <w:t>141</w:t>
      </w:r>
      <w:r>
        <w:t xml:space="preserve"> (2005).</w:t>
      </w:r>
    </w:p>
    <w:p w14:paraId="26F3A19D" w14:textId="77777777" w:rsidR="00A2746C" w:rsidRDefault="00A2746C" w:rsidP="00A2746C">
      <w:pPr>
        <w:pStyle w:val="MyRef"/>
      </w:pPr>
      <w:r>
        <w:t xml:space="preserve">[14] J. L. Herlocker, J. A. Konstan and J.Riedl, Explaining Collaborative Filtering Recommendations. </w:t>
      </w:r>
      <w:r w:rsidRPr="000D22AF">
        <w:rPr>
          <w:i/>
        </w:rPr>
        <w:t>Procs. ACM Conf. on CSCW</w:t>
      </w:r>
      <w:r>
        <w:t>. Pennsylvania, USA (2000).</w:t>
      </w:r>
    </w:p>
    <w:p w14:paraId="6B8BDCBF" w14:textId="77777777" w:rsidR="00A2746C" w:rsidRDefault="00A2746C" w:rsidP="00A2746C">
      <w:pPr>
        <w:pStyle w:val="MyRef"/>
      </w:pPr>
      <w:r>
        <w:t xml:space="preserve">[15] J. McCarthy and T. Anagnost. MusicFX: An Arbiter of Group Preferences for Computer Supported Collaborative Workouts. In: </w:t>
      </w:r>
      <w:r w:rsidRPr="000D22AF">
        <w:rPr>
          <w:i/>
        </w:rPr>
        <w:t>Procs. ACM Conf. on CSCW</w:t>
      </w:r>
      <w:r>
        <w:t>, Seattle, USA, pp. 363-372 (1998).</w:t>
      </w:r>
    </w:p>
    <w:p w14:paraId="6FA08DFC" w14:textId="77777777" w:rsidR="00A2746C" w:rsidRDefault="00A2746C" w:rsidP="00A2746C">
      <w:pPr>
        <w:pStyle w:val="MyRef"/>
      </w:pPr>
      <w:r w:rsidRPr="00E354D7">
        <w:rPr>
          <w:lang w:val="pt-BR"/>
        </w:rPr>
        <w:t>[1</w:t>
      </w:r>
      <w:r>
        <w:rPr>
          <w:lang w:val="pt-BR"/>
        </w:rPr>
        <w:t>6</w:t>
      </w:r>
      <w:r w:rsidRPr="00E354D7">
        <w:rPr>
          <w:lang w:val="pt-BR"/>
        </w:rPr>
        <w:t>] S. Pizzutilo, B. De Carolis,  G. Cozzolongo, F. Ambruoso</w:t>
      </w:r>
      <w:r>
        <w:rPr>
          <w:lang w:val="pt-BR"/>
        </w:rPr>
        <w:t xml:space="preserve">. </w:t>
      </w:r>
      <w:r w:rsidRPr="00E354D7">
        <w:t xml:space="preserve">Group </w:t>
      </w:r>
      <w:r>
        <w:t xml:space="preserve">Modeling in a Public Space: Methods, Techniques and Experiences. In: </w:t>
      </w:r>
      <w:r w:rsidRPr="00E354D7">
        <w:rPr>
          <w:i/>
        </w:rPr>
        <w:t>Procs. of WSEAS AIC 05</w:t>
      </w:r>
      <w:r>
        <w:t>, Malta, Sept. 2005. pp. 175-180 (2005).</w:t>
      </w:r>
    </w:p>
    <w:p w14:paraId="7D73ED76" w14:textId="77777777" w:rsidR="00A2746C" w:rsidRDefault="00A2746C">
      <w:pPr>
        <w:rPr>
          <w:sz w:val="16"/>
          <w:szCs w:val="16"/>
        </w:rPr>
      </w:pPr>
    </w:p>
    <w:sectPr w:rsidR="00A2746C" w:rsidSect="00A2746C">
      <w:type w:val="continuous"/>
      <w:pgSz w:w="11906" w:h="16838" w:code="9"/>
      <w:pgMar w:top="1701" w:right="1134" w:bottom="2325" w:left="1021" w:header="709" w:footer="709" w:gutter="0"/>
      <w:cols w:num="2" w:space="34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DC22DD" w14:textId="77777777" w:rsidR="00CE0090" w:rsidRDefault="00CE0090">
      <w:r>
        <w:separator/>
      </w:r>
    </w:p>
  </w:endnote>
  <w:endnote w:type="continuationSeparator" w:id="0">
    <w:p w14:paraId="6896FD8A" w14:textId="77777777" w:rsidR="00CE0090" w:rsidRDefault="00CE00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4D"/>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Times">
    <w:altName w:val="Times New Roman"/>
    <w:panose1 w:val="00000500000000020000"/>
    <w:charset w:val="00"/>
    <w:family w:val="auto"/>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MR7">
    <w:altName w:val="Cambria"/>
    <w:panose1 w:val="020B0604020202020204"/>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2AFF" w:usb1="C000ACF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137974" w14:textId="77777777" w:rsidR="00CE0090" w:rsidRDefault="00CE0090">
      <w:r>
        <w:separator/>
      </w:r>
    </w:p>
  </w:footnote>
  <w:footnote w:type="continuationSeparator" w:id="0">
    <w:p w14:paraId="6929A0CE" w14:textId="77777777" w:rsidR="00CE0090" w:rsidRDefault="00CE0090">
      <w:r>
        <w:continuationSeparator/>
      </w:r>
    </w:p>
  </w:footnote>
  <w:footnote w:id="1">
    <w:p w14:paraId="23D5D7B6" w14:textId="77777777" w:rsidR="00A2746C" w:rsidRDefault="00A2746C" w:rsidP="00A2746C">
      <w:pPr>
        <w:pStyle w:val="FootnoteText"/>
        <w:jc w:val="both"/>
      </w:pPr>
      <w:r>
        <w:rPr>
          <w:rStyle w:val="FootnoteReference"/>
        </w:rPr>
        <w:footnoteRef/>
      </w:r>
      <w:r>
        <w:t xml:space="preserve"> </w:t>
      </w:r>
      <w:r>
        <w:rPr>
          <w:sz w:val="16"/>
          <w:szCs w:val="16"/>
        </w:rPr>
        <w:t>Dept.</w:t>
      </w:r>
      <w:r w:rsidRPr="003B7373">
        <w:rPr>
          <w:sz w:val="16"/>
          <w:szCs w:val="16"/>
        </w:rPr>
        <w:t xml:space="preserve"> of Computing Science, </w:t>
      </w:r>
      <w:r>
        <w:rPr>
          <w:sz w:val="16"/>
          <w:szCs w:val="16"/>
        </w:rPr>
        <w:t>Univ.</w:t>
      </w:r>
      <w:r w:rsidRPr="003B7373">
        <w:rPr>
          <w:sz w:val="16"/>
          <w:szCs w:val="16"/>
        </w:rPr>
        <w:t xml:space="preserve"> of Aberdeen, AB24 3UE, </w:t>
      </w:r>
      <w:r>
        <w:rPr>
          <w:sz w:val="16"/>
          <w:szCs w:val="16"/>
        </w:rPr>
        <w:t>UK</w:t>
      </w:r>
      <w:r w:rsidRPr="003B7373">
        <w:rPr>
          <w:sz w:val="16"/>
          <w:szCs w:val="16"/>
        </w:rPr>
        <w:t>. Email: {</w:t>
      </w:r>
      <w:r>
        <w:rPr>
          <w:rFonts w:ascii="Courier New" w:hAnsi="Courier New" w:cs="Courier New"/>
          <w:b/>
          <w:sz w:val="14"/>
          <w:szCs w:val="14"/>
        </w:rPr>
        <w:t>name1</w:t>
      </w:r>
      <w:r w:rsidRPr="003B7373">
        <w:rPr>
          <w:sz w:val="16"/>
          <w:szCs w:val="16"/>
        </w:rPr>
        <w:t xml:space="preserve">, </w:t>
      </w:r>
      <w:r>
        <w:rPr>
          <w:rFonts w:ascii="Courier New" w:hAnsi="Courier New" w:cs="Courier New"/>
          <w:b/>
          <w:sz w:val="14"/>
          <w:szCs w:val="14"/>
        </w:rPr>
        <w:t>name2</w:t>
      </w:r>
      <w:r w:rsidRPr="003B7373">
        <w:rPr>
          <w:sz w:val="16"/>
          <w:szCs w:val="16"/>
        </w:rPr>
        <w:t>}</w:t>
      </w:r>
      <w:r w:rsidRPr="003B7373">
        <w:rPr>
          <w:rFonts w:ascii="Courier New" w:hAnsi="Courier New" w:cs="Courier New"/>
          <w:b/>
          <w:sz w:val="14"/>
          <w:szCs w:val="14"/>
        </w:rPr>
        <w:t>@csd.abdn.ac.uk</w:t>
      </w:r>
      <w:r w:rsidRPr="003B7373">
        <w:rPr>
          <w:sz w:val="16"/>
          <w:szCs w:val="16"/>
        </w:rPr>
        <w:t>.</w:t>
      </w:r>
      <w:r>
        <w:t xml:space="preserve"> </w:t>
      </w:r>
    </w:p>
  </w:footnote>
  <w:footnote w:id="2">
    <w:p w14:paraId="5DC120F4" w14:textId="77777777" w:rsidR="00A2746C" w:rsidRPr="00D13AEE" w:rsidRDefault="00A2746C" w:rsidP="00A2746C">
      <w:pPr>
        <w:pStyle w:val="FootnoteText"/>
        <w:jc w:val="both"/>
        <w:rPr>
          <w:sz w:val="16"/>
          <w:szCs w:val="16"/>
        </w:rPr>
      </w:pPr>
      <w:r>
        <w:rPr>
          <w:rStyle w:val="FootnoteReference"/>
        </w:rPr>
        <w:footnoteRef/>
      </w:r>
      <w:r w:rsidRPr="00D13AEE">
        <w:t xml:space="preserve"> </w:t>
      </w:r>
      <w:r>
        <w:rPr>
          <w:sz w:val="16"/>
          <w:szCs w:val="16"/>
        </w:rPr>
        <w:t>Dept. of Computer</w:t>
      </w:r>
      <w:r w:rsidRPr="003B7373">
        <w:rPr>
          <w:sz w:val="16"/>
          <w:szCs w:val="16"/>
        </w:rPr>
        <w:t xml:space="preserve"> Science, </w:t>
      </w:r>
      <w:r>
        <w:rPr>
          <w:sz w:val="16"/>
          <w:szCs w:val="16"/>
        </w:rPr>
        <w:t>Univ.</w:t>
      </w:r>
      <w:r w:rsidRPr="003B7373">
        <w:rPr>
          <w:sz w:val="16"/>
          <w:szCs w:val="16"/>
        </w:rPr>
        <w:t xml:space="preserve"> of A</w:t>
      </w:r>
      <w:r>
        <w:rPr>
          <w:sz w:val="16"/>
          <w:szCs w:val="16"/>
        </w:rPr>
        <w:t>nother</w:t>
      </w:r>
      <w:r w:rsidRPr="003B7373">
        <w:rPr>
          <w:sz w:val="16"/>
          <w:szCs w:val="16"/>
        </w:rPr>
        <w:t xml:space="preserve">, AB24 3UE, </w:t>
      </w:r>
      <w:r>
        <w:rPr>
          <w:sz w:val="16"/>
          <w:szCs w:val="16"/>
        </w:rPr>
        <w:t>UK</w:t>
      </w:r>
      <w:r w:rsidRPr="003B7373">
        <w:rPr>
          <w:sz w:val="16"/>
          <w:szCs w:val="16"/>
        </w:rPr>
        <w:t>. Email: {</w:t>
      </w:r>
      <w:r>
        <w:rPr>
          <w:rFonts w:ascii="Courier New" w:hAnsi="Courier New" w:cs="Courier New"/>
          <w:b/>
          <w:sz w:val="14"/>
          <w:szCs w:val="14"/>
        </w:rPr>
        <w:t>name1</w:t>
      </w:r>
      <w:r w:rsidRPr="003B7373">
        <w:rPr>
          <w:sz w:val="16"/>
          <w:szCs w:val="16"/>
        </w:rPr>
        <w:t xml:space="preserve">, </w:t>
      </w:r>
      <w:r>
        <w:rPr>
          <w:rFonts w:ascii="Courier New" w:hAnsi="Courier New" w:cs="Courier New"/>
          <w:b/>
          <w:sz w:val="14"/>
          <w:szCs w:val="14"/>
        </w:rPr>
        <w:t>name2</w:t>
      </w:r>
      <w:r w:rsidRPr="003B7373">
        <w:rPr>
          <w:sz w:val="16"/>
          <w:szCs w:val="16"/>
        </w:rPr>
        <w:t>}</w:t>
      </w:r>
      <w:r>
        <w:rPr>
          <w:rFonts w:ascii="Courier New" w:hAnsi="Courier New" w:cs="Courier New"/>
          <w:b/>
          <w:sz w:val="14"/>
          <w:szCs w:val="14"/>
        </w:rPr>
        <w:t>@cs.</w:t>
      </w:r>
      <w:r w:rsidRPr="003B7373">
        <w:rPr>
          <w:rFonts w:ascii="Courier New" w:hAnsi="Courier New" w:cs="Courier New"/>
          <w:b/>
          <w:sz w:val="14"/>
          <w:szCs w:val="14"/>
        </w:rPr>
        <w:t>ac.uk</w:t>
      </w:r>
      <w:r w:rsidRPr="003B7373">
        <w:rPr>
          <w:sz w:val="16"/>
          <w:szCs w:val="16"/>
        </w:rPr>
        <w:t>.</w:t>
      </w:r>
    </w:p>
  </w:footnote>
  <w:footnote w:id="3">
    <w:p w14:paraId="551A278D" w14:textId="77777777" w:rsidR="00A2746C" w:rsidRDefault="00A2746C" w:rsidP="00A2746C">
      <w:pPr>
        <w:pStyle w:val="FootnoteText"/>
        <w:jc w:val="both"/>
      </w:pPr>
      <w:r>
        <w:rPr>
          <w:rStyle w:val="FootnoteReference"/>
        </w:rPr>
        <w:footnoteRef/>
      </w:r>
      <w:r w:rsidRPr="000D1A3D">
        <w:rPr>
          <w:sz w:val="16"/>
          <w:szCs w:val="16"/>
        </w:rPr>
        <w:t xml:space="preserve">This was done in another (educational) domain. </w:t>
      </w:r>
      <w:r>
        <w:rPr>
          <w:sz w:val="16"/>
          <w:szCs w:val="16"/>
        </w:rPr>
        <w:t>See [5] fo</w:t>
      </w:r>
      <w:r w:rsidRPr="000D1A3D">
        <w:rPr>
          <w:sz w:val="16"/>
          <w:szCs w:val="16"/>
        </w:rPr>
        <w:t>r a discussion o</w:t>
      </w:r>
      <w:r>
        <w:rPr>
          <w:sz w:val="16"/>
          <w:szCs w:val="16"/>
        </w:rPr>
        <w:t>n</w:t>
      </w:r>
      <w:r w:rsidRPr="000D1A3D">
        <w:rPr>
          <w:sz w:val="16"/>
          <w:szCs w:val="16"/>
        </w:rPr>
        <w:t xml:space="preserve"> why this was necessary.</w:t>
      </w:r>
      <w:r>
        <w:t xml:space="preserve"> </w:t>
      </w:r>
    </w:p>
  </w:footnote>
  <w:footnote w:id="4">
    <w:p w14:paraId="676C302D" w14:textId="77777777" w:rsidR="00A2746C" w:rsidRDefault="00A2746C" w:rsidP="00A2746C">
      <w:pPr>
        <w:widowControl w:val="0"/>
        <w:autoSpaceDE w:val="0"/>
        <w:autoSpaceDN w:val="0"/>
        <w:adjustRightInd w:val="0"/>
        <w:jc w:val="both"/>
      </w:pPr>
      <w:r w:rsidRPr="002F06EB">
        <w:rPr>
          <w:rStyle w:val="FootnoteReference"/>
          <w:sz w:val="20"/>
          <w:szCs w:val="20"/>
        </w:rPr>
        <w:footnoteRef/>
      </w:r>
      <w:r w:rsidRPr="002F06EB">
        <w:rPr>
          <w:sz w:val="16"/>
          <w:szCs w:val="16"/>
        </w:rPr>
        <w:t xml:space="preserve">JavaSpaces is part of Sun’s JINI Network Technology, available at </w:t>
      </w:r>
      <w:r w:rsidRPr="007F7911">
        <w:rPr>
          <w:rFonts w:ascii="Courier New" w:hAnsi="Courier New" w:cs="Courier New"/>
          <w:b/>
          <w:sz w:val="14"/>
          <w:szCs w:val="14"/>
        </w:rPr>
        <w:t>http://www.sun.com/software/jini/</w:t>
      </w:r>
    </w:p>
  </w:footnote>
  <w:footnote w:id="5">
    <w:p w14:paraId="3C811407" w14:textId="77777777" w:rsidR="00A2746C" w:rsidRPr="00E217FA" w:rsidRDefault="00A2746C" w:rsidP="00A2746C">
      <w:pPr>
        <w:pStyle w:val="FootnoteText"/>
        <w:jc w:val="both"/>
        <w:rPr>
          <w:sz w:val="16"/>
          <w:szCs w:val="16"/>
        </w:rPr>
      </w:pPr>
      <w:r>
        <w:rPr>
          <w:rStyle w:val="FootnoteReference"/>
        </w:rPr>
        <w:footnoteRef/>
      </w:r>
      <w:r w:rsidRPr="00E217FA">
        <w:rPr>
          <w:sz w:val="16"/>
          <w:szCs w:val="16"/>
        </w:rPr>
        <w:t xml:space="preserve">In our case, no cheating takes place. User agents honestly report their mood, rather than </w:t>
      </w:r>
      <w:r>
        <w:rPr>
          <w:sz w:val="16"/>
          <w:szCs w:val="16"/>
        </w:rPr>
        <w:t>e.g.</w:t>
      </w:r>
      <w:r w:rsidRPr="00E217FA">
        <w:rPr>
          <w:sz w:val="16"/>
          <w:szCs w:val="16"/>
        </w:rPr>
        <w:t xml:space="preserve"> always claiming to be very miserable in order to get a better next item. </w:t>
      </w:r>
    </w:p>
  </w:footnote>
  <w:footnote w:id="6">
    <w:p w14:paraId="3EEA16AD" w14:textId="77777777" w:rsidR="00A2746C" w:rsidRDefault="00A2746C" w:rsidP="00A2746C">
      <w:pPr>
        <w:pStyle w:val="FootnoteText"/>
        <w:jc w:val="both"/>
      </w:pPr>
      <w:r>
        <w:rPr>
          <w:rStyle w:val="FootnoteReference"/>
        </w:rPr>
        <w:footnoteRef/>
      </w:r>
      <w:r w:rsidRPr="00C81780">
        <w:rPr>
          <w:sz w:val="16"/>
          <w:szCs w:val="16"/>
        </w:rPr>
        <w:t xml:space="preserve">Both the </w:t>
      </w:r>
      <w:r>
        <w:rPr>
          <w:sz w:val="16"/>
          <w:szCs w:val="16"/>
        </w:rPr>
        <w:t>variant</w:t>
      </w:r>
      <w:r w:rsidRPr="00C81780">
        <w:rPr>
          <w:sz w:val="16"/>
          <w:szCs w:val="16"/>
        </w:rPr>
        <w:t xml:space="preserve"> to use and the parameter values are specified in configuration files. </w:t>
      </w:r>
    </w:p>
  </w:footnote>
  <w:footnote w:id="7">
    <w:p w14:paraId="3574C549" w14:textId="4CD0C733" w:rsidR="00A2746C" w:rsidRPr="00790142" w:rsidRDefault="00A2746C" w:rsidP="00A2746C">
      <w:pPr>
        <w:pStyle w:val="FootnoteText"/>
        <w:jc w:val="both"/>
        <w:rPr>
          <w:sz w:val="16"/>
          <w:szCs w:val="16"/>
        </w:rPr>
      </w:pPr>
      <w:r>
        <w:rPr>
          <w:rStyle w:val="FootnoteReference"/>
        </w:rPr>
        <w:footnoteRef/>
      </w:r>
      <w:r>
        <w:t xml:space="preserve"> </w:t>
      </w:r>
      <w:r w:rsidRPr="000B0F27">
        <w:rPr>
          <w:sz w:val="16"/>
          <w:szCs w:val="16"/>
        </w:rPr>
        <w:t>Java</w:t>
      </w:r>
      <w:r w:rsidRPr="000B0F27">
        <w:rPr>
          <w:rFonts w:ascii="CMR7" w:hAnsi="CMR7" w:cs="CMR7"/>
          <w:sz w:val="16"/>
          <w:szCs w:val="16"/>
          <w:vertAlign w:val="superscript"/>
        </w:rPr>
        <w:t xml:space="preserve"> </w:t>
      </w:r>
      <w:r w:rsidRPr="000B0F27">
        <w:rPr>
          <w:sz w:val="16"/>
          <w:szCs w:val="16"/>
        </w:rPr>
        <w:t>Agent D</w:t>
      </w:r>
      <w:r w:rsidR="003C66C5">
        <w:rPr>
          <w:sz w:val="16"/>
          <w:szCs w:val="16"/>
        </w:rPr>
        <w:t>e</w:t>
      </w:r>
      <w:r w:rsidRPr="000B0F27">
        <w:rPr>
          <w:sz w:val="16"/>
          <w:szCs w:val="16"/>
        </w:rPr>
        <w:t xml:space="preserve">velopment Framework, </w:t>
      </w:r>
      <w:r>
        <w:rPr>
          <w:sz w:val="16"/>
          <w:szCs w:val="16"/>
        </w:rPr>
        <w:t xml:space="preserve">available at </w:t>
      </w:r>
      <w:r w:rsidRPr="00790142">
        <w:rPr>
          <w:rFonts w:ascii="Courier New" w:hAnsi="Courier New" w:cs="Courier New"/>
          <w:b/>
          <w:sz w:val="14"/>
          <w:szCs w:val="14"/>
        </w:rPr>
        <w:t>http://jade.</w:t>
      </w:r>
      <w:r>
        <w:rPr>
          <w:rFonts w:ascii="Courier New" w:hAnsi="Courier New" w:cs="Courier New"/>
          <w:b/>
          <w:sz w:val="14"/>
          <w:szCs w:val="14"/>
        </w:rPr>
        <w:t xml:space="preserve"> </w:t>
      </w:r>
      <w:r w:rsidRPr="00790142">
        <w:rPr>
          <w:rFonts w:ascii="Courier New" w:hAnsi="Courier New" w:cs="Courier New"/>
          <w:b/>
          <w:sz w:val="14"/>
          <w:szCs w:val="14"/>
        </w:rPr>
        <w:t>tilab.com.</w:t>
      </w:r>
      <w:r>
        <w:rPr>
          <w:sz w:val="16"/>
          <w:szCs w:val="16"/>
        </w:rPr>
        <w:t xml:space="preserve"> Although JADE has its own communication facilities, we did not make use of them. Instead, we used JADE to facilitate the management and debugging of our agents. By using JavaSpaces, we confer openness on our solution, as any Java-enabled device can communicate with other components by posting and retrieving entries from the space.</w:t>
      </w:r>
    </w:p>
  </w:footnote>
  <w:footnote w:id="8">
    <w:p w14:paraId="5BC16493" w14:textId="77777777" w:rsidR="00A2746C" w:rsidRPr="00490EF4" w:rsidRDefault="00A2746C">
      <w:pPr>
        <w:pStyle w:val="FootnoteText"/>
        <w:rPr>
          <w:rFonts w:ascii="Courier New" w:hAnsi="Courier New" w:cs="Courier New"/>
          <w:b/>
          <w:sz w:val="14"/>
          <w:szCs w:val="14"/>
        </w:rPr>
      </w:pPr>
      <w:r>
        <w:rPr>
          <w:rStyle w:val="FootnoteReference"/>
        </w:rPr>
        <w:footnoteRef/>
      </w:r>
      <w:r>
        <w:t xml:space="preserve"> </w:t>
      </w:r>
      <w:r w:rsidRPr="00490EF4">
        <w:rPr>
          <w:rFonts w:ascii="Courier New" w:hAnsi="Courier New" w:cs="Courier New"/>
          <w:b/>
          <w:sz w:val="14"/>
          <w:szCs w:val="14"/>
        </w:rPr>
        <w:t>http://java.sun.com/products/java-media/2D</w:t>
      </w:r>
    </w:p>
  </w:footnote>
  <w:footnote w:id="9">
    <w:p w14:paraId="253C3A30" w14:textId="77777777" w:rsidR="00A2746C" w:rsidRPr="00490EF4" w:rsidRDefault="00A2746C">
      <w:pPr>
        <w:pStyle w:val="FootnoteText"/>
        <w:rPr>
          <w:rFonts w:ascii="Courier New" w:hAnsi="Courier New" w:cs="Courier New"/>
          <w:b/>
          <w:sz w:val="14"/>
          <w:szCs w:val="14"/>
        </w:rPr>
      </w:pPr>
      <w:r>
        <w:rPr>
          <w:rStyle w:val="FootnoteReference"/>
        </w:rPr>
        <w:footnoteRef/>
      </w:r>
      <w:r>
        <w:t xml:space="preserve"> </w:t>
      </w:r>
      <w:r w:rsidRPr="00490EF4">
        <w:rPr>
          <w:rFonts w:ascii="Courier New" w:hAnsi="Courier New" w:cs="Courier New"/>
          <w:b/>
          <w:sz w:val="14"/>
          <w:szCs w:val="14"/>
        </w:rPr>
        <w:t>http://java.sun.com/products/java-media/jmf</w:t>
      </w:r>
    </w:p>
  </w:footnote>
  <w:footnote w:id="10">
    <w:p w14:paraId="129114AA" w14:textId="77777777" w:rsidR="00A2746C" w:rsidRDefault="00A2746C">
      <w:pPr>
        <w:pStyle w:val="FootnoteText"/>
      </w:pPr>
      <w:r>
        <w:rPr>
          <w:rStyle w:val="FootnoteReference"/>
        </w:rPr>
        <w:footnoteRef/>
      </w:r>
      <w:r>
        <w:t xml:space="preserve"> </w:t>
      </w:r>
      <w:r w:rsidRPr="003C3D49">
        <w:rPr>
          <w:rFonts w:ascii="Courier New" w:hAnsi="Courier New" w:cs="Courier New"/>
          <w:b/>
          <w:sz w:val="14"/>
          <w:szCs w:val="14"/>
        </w:rPr>
        <w:t>http://www.microsoft.com/windows/windowsmedia</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D0D40108"/>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620104CD"/>
    <w:multiLevelType w:val="hybridMultilevel"/>
    <w:tmpl w:val="B290DF50"/>
    <w:lvl w:ilvl="0" w:tplc="733A1416">
      <w:numFmt w:val="bullet"/>
      <w:lvlText w:val=""/>
      <w:lvlJc w:val="left"/>
      <w:pPr>
        <w:tabs>
          <w:tab w:val="num" w:pos="755"/>
        </w:tabs>
        <w:ind w:left="755" w:hanging="360"/>
      </w:pPr>
      <w:rPr>
        <w:rFonts w:ascii="Symbol" w:eastAsia="Times New Roman" w:hAnsi="Symbol" w:cs="Times New Roman" w:hint="default"/>
      </w:rPr>
    </w:lvl>
    <w:lvl w:ilvl="1" w:tplc="08090003" w:tentative="1">
      <w:start w:val="1"/>
      <w:numFmt w:val="bullet"/>
      <w:lvlText w:val="o"/>
      <w:lvlJc w:val="left"/>
      <w:pPr>
        <w:tabs>
          <w:tab w:val="num" w:pos="1655"/>
        </w:tabs>
        <w:ind w:left="1655" w:hanging="360"/>
      </w:pPr>
      <w:rPr>
        <w:rFonts w:ascii="Courier New" w:hAnsi="Courier New" w:cs="Wingdings" w:hint="default"/>
      </w:rPr>
    </w:lvl>
    <w:lvl w:ilvl="2" w:tplc="08090005" w:tentative="1">
      <w:start w:val="1"/>
      <w:numFmt w:val="bullet"/>
      <w:lvlText w:val=""/>
      <w:lvlJc w:val="left"/>
      <w:pPr>
        <w:tabs>
          <w:tab w:val="num" w:pos="2375"/>
        </w:tabs>
        <w:ind w:left="2375" w:hanging="360"/>
      </w:pPr>
      <w:rPr>
        <w:rFonts w:ascii="Wingdings" w:hAnsi="Wingdings" w:hint="default"/>
      </w:rPr>
    </w:lvl>
    <w:lvl w:ilvl="3" w:tplc="08090001" w:tentative="1">
      <w:start w:val="1"/>
      <w:numFmt w:val="bullet"/>
      <w:lvlText w:val=""/>
      <w:lvlJc w:val="left"/>
      <w:pPr>
        <w:tabs>
          <w:tab w:val="num" w:pos="3095"/>
        </w:tabs>
        <w:ind w:left="3095" w:hanging="360"/>
      </w:pPr>
      <w:rPr>
        <w:rFonts w:ascii="Symbol" w:hAnsi="Symbol" w:hint="default"/>
      </w:rPr>
    </w:lvl>
    <w:lvl w:ilvl="4" w:tplc="08090003" w:tentative="1">
      <w:start w:val="1"/>
      <w:numFmt w:val="bullet"/>
      <w:lvlText w:val="o"/>
      <w:lvlJc w:val="left"/>
      <w:pPr>
        <w:tabs>
          <w:tab w:val="num" w:pos="3815"/>
        </w:tabs>
        <w:ind w:left="3815" w:hanging="360"/>
      </w:pPr>
      <w:rPr>
        <w:rFonts w:ascii="Courier New" w:hAnsi="Courier New" w:cs="Wingdings" w:hint="default"/>
      </w:rPr>
    </w:lvl>
    <w:lvl w:ilvl="5" w:tplc="08090005" w:tentative="1">
      <w:start w:val="1"/>
      <w:numFmt w:val="bullet"/>
      <w:lvlText w:val=""/>
      <w:lvlJc w:val="left"/>
      <w:pPr>
        <w:tabs>
          <w:tab w:val="num" w:pos="4535"/>
        </w:tabs>
        <w:ind w:left="4535" w:hanging="360"/>
      </w:pPr>
      <w:rPr>
        <w:rFonts w:ascii="Wingdings" w:hAnsi="Wingdings" w:hint="default"/>
      </w:rPr>
    </w:lvl>
    <w:lvl w:ilvl="6" w:tplc="08090001" w:tentative="1">
      <w:start w:val="1"/>
      <w:numFmt w:val="bullet"/>
      <w:lvlText w:val=""/>
      <w:lvlJc w:val="left"/>
      <w:pPr>
        <w:tabs>
          <w:tab w:val="num" w:pos="5255"/>
        </w:tabs>
        <w:ind w:left="5255" w:hanging="360"/>
      </w:pPr>
      <w:rPr>
        <w:rFonts w:ascii="Symbol" w:hAnsi="Symbol" w:hint="default"/>
      </w:rPr>
    </w:lvl>
    <w:lvl w:ilvl="7" w:tplc="08090003" w:tentative="1">
      <w:start w:val="1"/>
      <w:numFmt w:val="bullet"/>
      <w:lvlText w:val="o"/>
      <w:lvlJc w:val="left"/>
      <w:pPr>
        <w:tabs>
          <w:tab w:val="num" w:pos="5975"/>
        </w:tabs>
        <w:ind w:left="5975" w:hanging="360"/>
      </w:pPr>
      <w:rPr>
        <w:rFonts w:ascii="Courier New" w:hAnsi="Courier New" w:cs="Wingdings" w:hint="default"/>
      </w:rPr>
    </w:lvl>
    <w:lvl w:ilvl="8" w:tplc="08090005" w:tentative="1">
      <w:start w:val="1"/>
      <w:numFmt w:val="bullet"/>
      <w:lvlText w:val=""/>
      <w:lvlJc w:val="left"/>
      <w:pPr>
        <w:tabs>
          <w:tab w:val="num" w:pos="6695"/>
        </w:tabs>
        <w:ind w:left="6695" w:hanging="360"/>
      </w:pPr>
      <w:rPr>
        <w:rFonts w:ascii="Wingdings" w:hAnsi="Wingdings" w:hint="default"/>
      </w:rPr>
    </w:lvl>
  </w:abstractNum>
  <w:num w:numId="1" w16cid:durableId="632635798">
    <w:abstractNumId w:val="1"/>
  </w:num>
  <w:num w:numId="2" w16cid:durableId="17119138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903E9"/>
    <w:rsid w:val="002432A8"/>
    <w:rsid w:val="003C66C5"/>
    <w:rsid w:val="00423686"/>
    <w:rsid w:val="00456587"/>
    <w:rsid w:val="00543E27"/>
    <w:rsid w:val="00612062"/>
    <w:rsid w:val="006C0C81"/>
    <w:rsid w:val="00993967"/>
    <w:rsid w:val="00A2746C"/>
    <w:rsid w:val="00A31800"/>
    <w:rsid w:val="00AD1A57"/>
    <w:rsid w:val="00C50559"/>
    <w:rsid w:val="00C903E9"/>
    <w:rsid w:val="00CE0090"/>
    <w:rsid w:val="00F97154"/>
  </w:rsids>
  <m:mathPr>
    <m:mathFont m:val="Cambria Math"/>
    <m:brkBin m:val="before"/>
    <m:brkBinSub m:val="--"/>
    <m:smallFrac m:val="0"/>
    <m:dispDef m:val="0"/>
    <m:lMargin m:val="0"/>
    <m:rMargin m:val="0"/>
    <m:defJc m:val="centerGroup"/>
    <m:wrapRight/>
    <m:intLim m:val="subSup"/>
    <m:naryLim m:val="subSup"/>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C1F3EAC"/>
  <w14:defaultImageDpi w14:val="300"/>
  <w15:docId w15:val="{2836AC1A-81CA-9940-AB37-90790C21F4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semiHidden/>
    <w:rsid w:val="00682B11"/>
    <w:rPr>
      <w:sz w:val="20"/>
      <w:szCs w:val="20"/>
    </w:rPr>
  </w:style>
  <w:style w:type="character" w:styleId="FootnoteReference">
    <w:name w:val="footnote reference"/>
    <w:semiHidden/>
    <w:rsid w:val="00682B11"/>
    <w:rPr>
      <w:vertAlign w:val="superscript"/>
    </w:rPr>
  </w:style>
  <w:style w:type="paragraph" w:customStyle="1" w:styleId="p1aChar">
    <w:name w:val="p1a Char"/>
    <w:basedOn w:val="Normal"/>
    <w:next w:val="Normal"/>
    <w:rsid w:val="006A0721"/>
    <w:pPr>
      <w:overflowPunct w:val="0"/>
      <w:autoSpaceDE w:val="0"/>
      <w:autoSpaceDN w:val="0"/>
      <w:adjustRightInd w:val="0"/>
      <w:jc w:val="both"/>
      <w:textAlignment w:val="baseline"/>
    </w:pPr>
    <w:rPr>
      <w:rFonts w:ascii="Times" w:hAnsi="Times"/>
      <w:sz w:val="20"/>
      <w:szCs w:val="20"/>
      <w:lang w:val="en-US"/>
    </w:rPr>
  </w:style>
  <w:style w:type="paragraph" w:customStyle="1" w:styleId="NumberedItem">
    <w:name w:val="Numbered Item"/>
    <w:basedOn w:val="Normal"/>
    <w:rsid w:val="006A0721"/>
    <w:pPr>
      <w:tabs>
        <w:tab w:val="left" w:pos="227"/>
        <w:tab w:val="left" w:pos="454"/>
      </w:tabs>
      <w:overflowPunct w:val="0"/>
      <w:autoSpaceDE w:val="0"/>
      <w:autoSpaceDN w:val="0"/>
      <w:adjustRightInd w:val="0"/>
      <w:ind w:left="227" w:hanging="227"/>
      <w:jc w:val="both"/>
      <w:textAlignment w:val="baseline"/>
    </w:pPr>
    <w:rPr>
      <w:rFonts w:ascii="Times" w:hAnsi="Times"/>
      <w:sz w:val="20"/>
      <w:szCs w:val="20"/>
      <w:lang w:val="en-US"/>
    </w:rPr>
  </w:style>
  <w:style w:type="paragraph" w:customStyle="1" w:styleId="MyH1">
    <w:name w:val="MyH1"/>
    <w:basedOn w:val="Normal"/>
    <w:rsid w:val="00967AB8"/>
    <w:pPr>
      <w:spacing w:before="360" w:after="120"/>
    </w:pPr>
    <w:rPr>
      <w:b/>
      <w:sz w:val="22"/>
      <w:szCs w:val="22"/>
    </w:rPr>
  </w:style>
  <w:style w:type="paragraph" w:customStyle="1" w:styleId="MyFirstPar">
    <w:name w:val="MyFirstPar"/>
    <w:basedOn w:val="Normal"/>
    <w:link w:val="MyFirstParChar"/>
    <w:rsid w:val="00967AB8"/>
    <w:pPr>
      <w:jc w:val="both"/>
    </w:pPr>
    <w:rPr>
      <w:sz w:val="18"/>
      <w:szCs w:val="18"/>
    </w:rPr>
  </w:style>
  <w:style w:type="paragraph" w:customStyle="1" w:styleId="MyPar">
    <w:name w:val="MyPar"/>
    <w:basedOn w:val="Normal"/>
    <w:rsid w:val="00967AB8"/>
    <w:pPr>
      <w:ind w:firstLine="215"/>
      <w:jc w:val="both"/>
    </w:pPr>
    <w:rPr>
      <w:sz w:val="18"/>
      <w:szCs w:val="18"/>
    </w:rPr>
  </w:style>
  <w:style w:type="character" w:customStyle="1" w:styleId="MyFirstParChar">
    <w:name w:val="MyFirstPar Char"/>
    <w:link w:val="MyFirstPar"/>
    <w:rsid w:val="00967AB8"/>
    <w:rPr>
      <w:sz w:val="18"/>
      <w:szCs w:val="18"/>
      <w:lang w:val="en-GB" w:eastAsia="en-GB" w:bidi="ar-SA"/>
    </w:rPr>
  </w:style>
  <w:style w:type="paragraph" w:customStyle="1" w:styleId="MyRef">
    <w:name w:val="MyRef"/>
    <w:basedOn w:val="Normal"/>
    <w:rsid w:val="00696256"/>
    <w:pPr>
      <w:autoSpaceDE w:val="0"/>
      <w:autoSpaceDN w:val="0"/>
      <w:adjustRightInd w:val="0"/>
      <w:ind w:left="227" w:hanging="227"/>
      <w:jc w:val="both"/>
    </w:pPr>
    <w:rPr>
      <w:sz w:val="16"/>
      <w:szCs w:val="16"/>
    </w:rPr>
  </w:style>
  <w:style w:type="character" w:styleId="Hyperlink">
    <w:name w:val="Hyperlink"/>
    <w:rsid w:val="00225F73"/>
    <w:rPr>
      <w:color w:val="0000FF"/>
      <w:u w:val="single"/>
    </w:rPr>
  </w:style>
  <w:style w:type="paragraph" w:styleId="Header">
    <w:name w:val="header"/>
    <w:basedOn w:val="Normal"/>
    <w:rsid w:val="007B2A63"/>
    <w:pPr>
      <w:tabs>
        <w:tab w:val="center" w:pos="4153"/>
        <w:tab w:val="right" w:pos="8306"/>
      </w:tabs>
    </w:pPr>
  </w:style>
  <w:style w:type="paragraph" w:styleId="Footer">
    <w:name w:val="footer"/>
    <w:basedOn w:val="Normal"/>
    <w:rsid w:val="007B2A63"/>
    <w:pPr>
      <w:tabs>
        <w:tab w:val="center" w:pos="4153"/>
        <w:tab w:val="right" w:pos="8306"/>
      </w:tabs>
    </w:pPr>
  </w:style>
  <w:style w:type="character" w:styleId="PageNumber">
    <w:name w:val="page number"/>
    <w:basedOn w:val="DefaultParagraphFont"/>
    <w:rsid w:val="007B2A63"/>
  </w:style>
  <w:style w:type="paragraph" w:styleId="BalloonText">
    <w:name w:val="Balloon Text"/>
    <w:basedOn w:val="Normal"/>
    <w:semiHidden/>
    <w:rsid w:val="005F6E4A"/>
    <w:rPr>
      <w:rFonts w:ascii="Tahoma" w:hAnsi="Tahoma" w:cs="Tahoma"/>
      <w:sz w:val="16"/>
      <w:szCs w:val="16"/>
    </w:rPr>
  </w:style>
  <w:style w:type="paragraph" w:styleId="DocumentMap">
    <w:name w:val="Document Map"/>
    <w:basedOn w:val="Normal"/>
    <w:semiHidden/>
    <w:rsid w:val="00D13AEE"/>
    <w:pPr>
      <w:shd w:val="clear" w:color="auto" w:fill="000080"/>
    </w:pPr>
    <w:rPr>
      <w:rFonts w:ascii="Tahoma" w:hAnsi="Tahoma" w:cs="Tahom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4902840">
      <w:bodyDiv w:val="1"/>
      <w:marLeft w:val="0"/>
      <w:marRight w:val="0"/>
      <w:marTop w:val="0"/>
      <w:marBottom w:val="0"/>
      <w:divBdr>
        <w:top w:val="none" w:sz="0" w:space="0" w:color="auto"/>
        <w:left w:val="none" w:sz="0" w:space="0" w:color="auto"/>
        <w:bottom w:val="none" w:sz="0" w:space="0" w:color="auto"/>
        <w:right w:val="none" w:sz="0" w:space="0" w:color="auto"/>
      </w:divBdr>
    </w:div>
    <w:div w:id="489492784">
      <w:bodyDiv w:val="1"/>
      <w:marLeft w:val="0"/>
      <w:marRight w:val="0"/>
      <w:marTop w:val="0"/>
      <w:marBottom w:val="0"/>
      <w:divBdr>
        <w:top w:val="none" w:sz="0" w:space="0" w:color="auto"/>
        <w:left w:val="none" w:sz="0" w:space="0" w:color="auto"/>
        <w:bottom w:val="none" w:sz="0" w:space="0" w:color="auto"/>
        <w:right w:val="none" w:sz="0" w:space="0" w:color="auto"/>
      </w:divBdr>
    </w:div>
    <w:div w:id="647125076">
      <w:bodyDiv w:val="1"/>
      <w:marLeft w:val="0"/>
      <w:marRight w:val="0"/>
      <w:marTop w:val="0"/>
      <w:marBottom w:val="0"/>
      <w:divBdr>
        <w:top w:val="none" w:sz="0" w:space="0" w:color="auto"/>
        <w:left w:val="none" w:sz="0" w:space="0" w:color="auto"/>
        <w:bottom w:val="none" w:sz="0" w:space="0" w:color="auto"/>
        <w:right w:val="none" w:sz="0" w:space="0" w:color="auto"/>
      </w:divBdr>
    </w:div>
    <w:div w:id="1105466815">
      <w:bodyDiv w:val="1"/>
      <w:marLeft w:val="0"/>
      <w:marRight w:val="0"/>
      <w:marTop w:val="0"/>
      <w:marBottom w:val="0"/>
      <w:divBdr>
        <w:top w:val="none" w:sz="0" w:space="0" w:color="auto"/>
        <w:left w:val="none" w:sz="0" w:space="0" w:color="auto"/>
        <w:bottom w:val="none" w:sz="0" w:space="0" w:color="auto"/>
        <w:right w:val="none" w:sz="0" w:space="0" w:color="auto"/>
      </w:divBdr>
    </w:div>
    <w:div w:id="1172375809">
      <w:bodyDiv w:val="1"/>
      <w:marLeft w:val="0"/>
      <w:marRight w:val="0"/>
      <w:marTop w:val="0"/>
      <w:marBottom w:val="0"/>
      <w:divBdr>
        <w:top w:val="none" w:sz="0" w:space="0" w:color="auto"/>
        <w:left w:val="none" w:sz="0" w:space="0" w:color="auto"/>
        <w:bottom w:val="none" w:sz="0" w:space="0" w:color="auto"/>
        <w:right w:val="none" w:sz="0" w:space="0" w:color="auto"/>
      </w:divBdr>
    </w:div>
    <w:div w:id="1271358836">
      <w:bodyDiv w:val="1"/>
      <w:marLeft w:val="0"/>
      <w:marRight w:val="0"/>
      <w:marTop w:val="0"/>
      <w:marBottom w:val="0"/>
      <w:divBdr>
        <w:top w:val="none" w:sz="0" w:space="0" w:color="auto"/>
        <w:left w:val="none" w:sz="0" w:space="0" w:color="auto"/>
        <w:bottom w:val="none" w:sz="0" w:space="0" w:color="auto"/>
        <w:right w:val="none" w:sz="0" w:space="0" w:color="auto"/>
      </w:divBdr>
    </w:div>
    <w:div w:id="15103704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png"/><Relationship Id="rId5" Type="http://schemas.openxmlformats.org/officeDocument/2006/relationships/footnotes" Target="footnotes.xml"/><Relationship Id="rId10" Type="http://schemas.openxmlformats.org/officeDocument/2006/relationships/oleObject" Target="embeddings/oleObject2.bin"/><Relationship Id="rId4" Type="http://schemas.openxmlformats.org/officeDocument/2006/relationships/webSettings" Target="webSettings.xml"/><Relationship Id="rId9" Type="http://schemas.openxmlformats.org/officeDocument/2006/relationships/image" Target="media/image2.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6</Pages>
  <Words>5223</Words>
  <Characters>27425</Characters>
  <Application>Microsoft Office Word</Application>
  <DocSecurity>0</DocSecurity>
  <Lines>609</Lines>
  <Paragraphs>143</Paragraphs>
  <ScaleCrop>false</ScaleCrop>
  <HeadingPairs>
    <vt:vector size="2" baseType="variant">
      <vt:variant>
        <vt:lpstr>Title</vt:lpstr>
      </vt:variant>
      <vt:variant>
        <vt:i4>1</vt:i4>
      </vt:variant>
    </vt:vector>
  </HeadingPairs>
  <TitlesOfParts>
    <vt:vector size="1" baseType="lpstr">
      <vt:lpstr>Group Modelling for Responsive Environments</vt:lpstr>
    </vt:vector>
  </TitlesOfParts>
  <LinksUpToDate>false</LinksUpToDate>
  <CharactersWithSpaces>32505</CharactersWithSpaces>
  <SharedDoc>false</SharedDoc>
  <HLinks>
    <vt:vector size="66" baseType="variant">
      <vt:variant>
        <vt:i4>196695</vt:i4>
      </vt:variant>
      <vt:variant>
        <vt:i4>-1</vt:i4>
      </vt:variant>
      <vt:variant>
        <vt:i4>1313</vt:i4>
      </vt:variant>
      <vt:variant>
        <vt:i4>1</vt:i4>
      </vt:variant>
      <vt:variant>
        <vt:lpwstr>j0347493</vt:lpwstr>
      </vt:variant>
      <vt:variant>
        <vt:lpwstr/>
      </vt:variant>
      <vt:variant>
        <vt:i4>852054</vt:i4>
      </vt:variant>
      <vt:variant>
        <vt:i4>-1</vt:i4>
      </vt:variant>
      <vt:variant>
        <vt:i4>1314</vt:i4>
      </vt:variant>
      <vt:variant>
        <vt:i4>1</vt:i4>
      </vt:variant>
      <vt:variant>
        <vt:lpwstr>j0347881</vt:lpwstr>
      </vt:variant>
      <vt:variant>
        <vt:lpwstr/>
      </vt:variant>
      <vt:variant>
        <vt:i4>983134</vt:i4>
      </vt:variant>
      <vt:variant>
        <vt:i4>-1</vt:i4>
      </vt:variant>
      <vt:variant>
        <vt:i4>1320</vt:i4>
      </vt:variant>
      <vt:variant>
        <vt:i4>1</vt:i4>
      </vt:variant>
      <vt:variant>
        <vt:lpwstr>j0405956</vt:lpwstr>
      </vt:variant>
      <vt:variant>
        <vt:lpwstr/>
      </vt:variant>
      <vt:variant>
        <vt:i4>983134</vt:i4>
      </vt:variant>
      <vt:variant>
        <vt:i4>-1</vt:i4>
      </vt:variant>
      <vt:variant>
        <vt:i4>1323</vt:i4>
      </vt:variant>
      <vt:variant>
        <vt:i4>1</vt:i4>
      </vt:variant>
      <vt:variant>
        <vt:lpwstr>j0405956</vt:lpwstr>
      </vt:variant>
      <vt:variant>
        <vt:lpwstr/>
      </vt:variant>
      <vt:variant>
        <vt:i4>65627</vt:i4>
      </vt:variant>
      <vt:variant>
        <vt:i4>-1</vt:i4>
      </vt:variant>
      <vt:variant>
        <vt:i4>1326</vt:i4>
      </vt:variant>
      <vt:variant>
        <vt:i4>1</vt:i4>
      </vt:variant>
      <vt:variant>
        <vt:lpwstr>j0357551</vt:lpwstr>
      </vt:variant>
      <vt:variant>
        <vt:lpwstr/>
      </vt:variant>
      <vt:variant>
        <vt:i4>524375</vt:i4>
      </vt:variant>
      <vt:variant>
        <vt:i4>-1</vt:i4>
      </vt:variant>
      <vt:variant>
        <vt:i4>1329</vt:i4>
      </vt:variant>
      <vt:variant>
        <vt:i4>1</vt:i4>
      </vt:variant>
      <vt:variant>
        <vt:lpwstr>j0396584</vt:lpwstr>
      </vt:variant>
      <vt:variant>
        <vt:lpwstr/>
      </vt:variant>
      <vt:variant>
        <vt:i4>524375</vt:i4>
      </vt:variant>
      <vt:variant>
        <vt:i4>-1</vt:i4>
      </vt:variant>
      <vt:variant>
        <vt:i4>1332</vt:i4>
      </vt:variant>
      <vt:variant>
        <vt:i4>1</vt:i4>
      </vt:variant>
      <vt:variant>
        <vt:lpwstr>j0396584</vt:lpwstr>
      </vt:variant>
      <vt:variant>
        <vt:lpwstr/>
      </vt:variant>
      <vt:variant>
        <vt:i4>720987</vt:i4>
      </vt:variant>
      <vt:variant>
        <vt:i4>-1</vt:i4>
      </vt:variant>
      <vt:variant>
        <vt:i4>1335</vt:i4>
      </vt:variant>
      <vt:variant>
        <vt:i4>1</vt:i4>
      </vt:variant>
      <vt:variant>
        <vt:lpwstr>j0405902</vt:lpwstr>
      </vt:variant>
      <vt:variant>
        <vt:lpwstr/>
      </vt:variant>
      <vt:variant>
        <vt:i4>720987</vt:i4>
      </vt:variant>
      <vt:variant>
        <vt:i4>-1</vt:i4>
      </vt:variant>
      <vt:variant>
        <vt:i4>1338</vt:i4>
      </vt:variant>
      <vt:variant>
        <vt:i4>1</vt:i4>
      </vt:variant>
      <vt:variant>
        <vt:lpwstr>j0405902</vt:lpwstr>
      </vt:variant>
      <vt:variant>
        <vt:lpwstr/>
      </vt:variant>
      <vt:variant>
        <vt:i4>65627</vt:i4>
      </vt:variant>
      <vt:variant>
        <vt:i4>-1</vt:i4>
      </vt:variant>
      <vt:variant>
        <vt:i4>1341</vt:i4>
      </vt:variant>
      <vt:variant>
        <vt:i4>1</vt:i4>
      </vt:variant>
      <vt:variant>
        <vt:lpwstr>j0357551</vt:lpwstr>
      </vt:variant>
      <vt:variant>
        <vt:lpwstr/>
      </vt:variant>
      <vt:variant>
        <vt:i4>524375</vt:i4>
      </vt:variant>
      <vt:variant>
        <vt:i4>-1</vt:i4>
      </vt:variant>
      <vt:variant>
        <vt:i4>1344</vt:i4>
      </vt:variant>
      <vt:variant>
        <vt:i4>1</vt:i4>
      </vt:variant>
      <vt:variant>
        <vt:lpwstr>j0396584</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AICSED Style guide</dc:title>
  <dc:subject/>
  <dc:creator>Department of Computing Science</dc:creator>
  <cp:keywords/>
  <cp:lastModifiedBy>Grecia Garcia Garcia</cp:lastModifiedBy>
  <cp:revision>4</cp:revision>
  <cp:lastPrinted>2007-01-21T15:52:00Z</cp:lastPrinted>
  <dcterms:created xsi:type="dcterms:W3CDTF">2016-02-21T13:05:00Z</dcterms:created>
  <dcterms:modified xsi:type="dcterms:W3CDTF">2026-03-05T11:27:00Z</dcterms:modified>
</cp:coreProperties>
</file>